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78A" w:rsidRPr="009973B7" w:rsidRDefault="001B578A" w:rsidP="001B578A">
      <w:pPr>
        <w:jc w:val="right"/>
      </w:pPr>
      <w:r w:rsidRPr="009973B7">
        <w:t>Проект</w:t>
      </w:r>
    </w:p>
    <w:p w:rsidR="001B578A" w:rsidRPr="009973B7" w:rsidRDefault="001B578A" w:rsidP="001B578A">
      <w:pPr>
        <w:jc w:val="center"/>
        <w:rPr>
          <w:b/>
        </w:rPr>
      </w:pPr>
    </w:p>
    <w:p w:rsidR="001B578A" w:rsidRPr="009973B7" w:rsidRDefault="001B578A" w:rsidP="001B578A">
      <w:pPr>
        <w:jc w:val="center"/>
        <w:outlineLvl w:val="0"/>
        <w:rPr>
          <w:b/>
        </w:rPr>
      </w:pPr>
      <w:r w:rsidRPr="009973B7">
        <w:rPr>
          <w:b/>
        </w:rPr>
        <w:t>КАБІНЕТ МІНІСТРІВ УКРАЇНИ</w:t>
      </w:r>
    </w:p>
    <w:p w:rsidR="001B578A" w:rsidRPr="009973B7" w:rsidRDefault="001B578A" w:rsidP="001B578A">
      <w:pPr>
        <w:jc w:val="center"/>
        <w:rPr>
          <w:b/>
        </w:rPr>
      </w:pPr>
    </w:p>
    <w:p w:rsidR="001B578A" w:rsidRPr="009973B7" w:rsidRDefault="001B578A" w:rsidP="001B578A">
      <w:pPr>
        <w:jc w:val="center"/>
        <w:outlineLvl w:val="0"/>
        <w:rPr>
          <w:b/>
        </w:rPr>
      </w:pPr>
      <w:r w:rsidRPr="009973B7">
        <w:rPr>
          <w:b/>
        </w:rPr>
        <w:t>ПОСТАНОВА</w:t>
      </w:r>
    </w:p>
    <w:p w:rsidR="001B578A" w:rsidRPr="009973B7" w:rsidRDefault="001B578A" w:rsidP="001B578A">
      <w:pPr>
        <w:spacing w:line="360" w:lineRule="auto"/>
        <w:jc w:val="center"/>
      </w:pPr>
    </w:p>
    <w:p w:rsidR="001B578A" w:rsidRPr="009973B7" w:rsidRDefault="001B578A" w:rsidP="001B578A">
      <w:pPr>
        <w:spacing w:line="360" w:lineRule="auto"/>
        <w:jc w:val="center"/>
      </w:pPr>
      <w:r w:rsidRPr="009973B7">
        <w:t xml:space="preserve">від                        </w:t>
      </w:r>
      <w:r w:rsidR="00CA206A" w:rsidRPr="009973B7">
        <w:t xml:space="preserve">   </w:t>
      </w:r>
      <w:r w:rsidRPr="009973B7">
        <w:t xml:space="preserve">         201</w:t>
      </w:r>
      <w:r w:rsidR="009D3120" w:rsidRPr="009973B7">
        <w:t>4</w:t>
      </w:r>
      <w:r w:rsidRPr="009973B7">
        <w:t xml:space="preserve"> р. №</w:t>
      </w:r>
    </w:p>
    <w:p w:rsidR="001B578A" w:rsidRPr="009973B7" w:rsidRDefault="001B578A" w:rsidP="001B578A">
      <w:pPr>
        <w:spacing w:line="360" w:lineRule="auto"/>
        <w:jc w:val="center"/>
        <w:outlineLvl w:val="0"/>
      </w:pPr>
      <w:r w:rsidRPr="009973B7">
        <w:t>Київ</w:t>
      </w:r>
    </w:p>
    <w:p w:rsidR="001B578A" w:rsidRPr="009973B7" w:rsidRDefault="001B578A" w:rsidP="001B578A">
      <w:pPr>
        <w:jc w:val="center"/>
        <w:rPr>
          <w:b/>
        </w:rPr>
      </w:pPr>
    </w:p>
    <w:p w:rsidR="009D3120" w:rsidRPr="009973B7" w:rsidRDefault="001B578A" w:rsidP="00D010A5">
      <w:pPr>
        <w:ind w:left="1077" w:right="1117"/>
        <w:jc w:val="center"/>
        <w:rPr>
          <w:b/>
        </w:rPr>
      </w:pPr>
      <w:r w:rsidRPr="009973B7">
        <w:rPr>
          <w:b/>
        </w:rPr>
        <w:t xml:space="preserve">Про </w:t>
      </w:r>
      <w:r w:rsidR="009D3120" w:rsidRPr="009973B7">
        <w:rPr>
          <w:rStyle w:val="rvts23"/>
          <w:b/>
          <w:color w:val="000000"/>
        </w:rPr>
        <w:t xml:space="preserve">затвердження </w:t>
      </w:r>
      <w:bookmarkStart w:id="0" w:name="_GoBack"/>
      <w:r w:rsidR="009D3120" w:rsidRPr="009973B7">
        <w:rPr>
          <w:rStyle w:val="rvts23"/>
          <w:b/>
          <w:color w:val="000000"/>
        </w:rPr>
        <w:t xml:space="preserve">Технічного регламенту щодо </w:t>
      </w:r>
      <w:r w:rsidR="00E2055A" w:rsidRPr="009973B7">
        <w:rPr>
          <w:b/>
        </w:rPr>
        <w:t xml:space="preserve">деяких товарів, </w:t>
      </w:r>
      <w:bookmarkStart w:id="1" w:name="OLE_LINK1"/>
      <w:r w:rsidR="00D010A5" w:rsidRPr="009973B7">
        <w:rPr>
          <w:b/>
        </w:rPr>
        <w:t>які</w:t>
      </w:r>
      <w:r w:rsidR="00E2055A" w:rsidRPr="009973B7">
        <w:rPr>
          <w:b/>
        </w:rPr>
        <w:t xml:space="preserve"> </w:t>
      </w:r>
      <w:bookmarkEnd w:id="1"/>
      <w:r w:rsidR="00E2055A" w:rsidRPr="009973B7">
        <w:rPr>
          <w:b/>
        </w:rPr>
        <w:t>фасують за масою та об’ємом у готову упаковку</w:t>
      </w:r>
      <w:bookmarkEnd w:id="0"/>
    </w:p>
    <w:p w:rsidR="001B578A" w:rsidRPr="009973B7" w:rsidRDefault="001B578A" w:rsidP="00D010A5">
      <w:pPr>
        <w:rPr>
          <w:b/>
        </w:rPr>
      </w:pPr>
    </w:p>
    <w:p w:rsidR="009D3120" w:rsidRPr="009973B7" w:rsidRDefault="009D3120" w:rsidP="009D3120">
      <w:pPr>
        <w:spacing w:line="360" w:lineRule="auto"/>
        <w:ind w:firstLine="720"/>
        <w:jc w:val="both"/>
        <w:rPr>
          <w:color w:val="000000"/>
        </w:rPr>
      </w:pPr>
      <w:r w:rsidRPr="009973B7">
        <w:rPr>
          <w:color w:val="000000"/>
        </w:rPr>
        <w:t xml:space="preserve">Відповідно до статті 14 </w:t>
      </w:r>
      <w:hyperlink r:id="rId8" w:tgtFrame="_blank" w:history="1">
        <w:r w:rsidRPr="009973B7">
          <w:t>Закону України "Про стандарти, технічні регламенти та процедури оцінки відповідності"</w:t>
        </w:r>
      </w:hyperlink>
      <w:r w:rsidRPr="009973B7">
        <w:rPr>
          <w:color w:val="000000"/>
        </w:rPr>
        <w:t xml:space="preserve"> Кабінет Міністрів України </w:t>
      </w:r>
      <w:r w:rsidRPr="009973B7">
        <w:rPr>
          <w:rStyle w:val="rvts52"/>
          <w:b/>
          <w:color w:val="000000"/>
        </w:rPr>
        <w:t>постановляє</w:t>
      </w:r>
      <w:r w:rsidRPr="009973B7">
        <w:rPr>
          <w:rStyle w:val="rvts52"/>
          <w:color w:val="000000"/>
        </w:rPr>
        <w:t>:</w:t>
      </w:r>
    </w:p>
    <w:p w:rsidR="009D3120" w:rsidRPr="009973B7" w:rsidRDefault="009D3120" w:rsidP="009D3120">
      <w:pPr>
        <w:spacing w:line="360" w:lineRule="auto"/>
        <w:ind w:firstLine="720"/>
        <w:jc w:val="both"/>
      </w:pPr>
      <w:r w:rsidRPr="009973B7">
        <w:t xml:space="preserve">1. Затвердити </w:t>
      </w:r>
      <w:hyperlink r:id="rId9" w:anchor="n9#n9" w:history="1">
        <w:r w:rsidRPr="009973B7">
          <w:t xml:space="preserve">Технічний регламент </w:t>
        </w:r>
        <w:r w:rsidR="00E2055A" w:rsidRPr="009973B7">
          <w:rPr>
            <w:rStyle w:val="rvts23"/>
            <w:color w:val="000000"/>
          </w:rPr>
          <w:t xml:space="preserve">щодо </w:t>
        </w:r>
        <w:r w:rsidR="00E2055A" w:rsidRPr="009973B7">
          <w:t xml:space="preserve">деяких товарів, </w:t>
        </w:r>
        <w:r w:rsidR="00B410F3" w:rsidRPr="009973B7">
          <w:t>які</w:t>
        </w:r>
        <w:r w:rsidR="00E2055A" w:rsidRPr="009973B7">
          <w:t xml:space="preserve"> фасують за масою та об’ємом у готову упаковку</w:t>
        </w:r>
        <w:r w:rsidR="00D010A5" w:rsidRPr="009973B7">
          <w:t>,</w:t>
        </w:r>
        <w:r w:rsidRPr="009973B7">
          <w:t xml:space="preserve"> </w:t>
        </w:r>
      </w:hyperlink>
      <w:r w:rsidRPr="009973B7">
        <w:t xml:space="preserve">та </w:t>
      </w:r>
      <w:hyperlink r:id="rId10" w:anchor="n78#n78" w:history="1">
        <w:r w:rsidRPr="009973B7">
          <w:t>план заходів</w:t>
        </w:r>
      </w:hyperlink>
      <w:r w:rsidRPr="009973B7">
        <w:t xml:space="preserve"> з його застосування, що додаються.</w:t>
      </w:r>
    </w:p>
    <w:p w:rsidR="00824C4F" w:rsidRPr="009973B7" w:rsidRDefault="006974B9" w:rsidP="006974B9">
      <w:pPr>
        <w:spacing w:line="360" w:lineRule="auto"/>
        <w:ind w:firstLine="720"/>
        <w:jc w:val="both"/>
      </w:pPr>
      <w:r w:rsidRPr="009973B7">
        <w:t>2. Дія затвердженого цією постановою Технічного регламенту не поширюється на упаковані одиниці, які були введені в обіг до дня набрання чинності цією постановою та перебувають в обігу не більше ніж два роки з дня набрання чинності цією постановою.</w:t>
      </w:r>
    </w:p>
    <w:p w:rsidR="009D3120" w:rsidRPr="009973B7" w:rsidRDefault="004B0E68" w:rsidP="009D3120">
      <w:pPr>
        <w:spacing w:line="360" w:lineRule="auto"/>
        <w:ind w:firstLine="720"/>
        <w:jc w:val="both"/>
        <w:rPr>
          <w:color w:val="000000"/>
        </w:rPr>
      </w:pPr>
      <w:r w:rsidRPr="009973B7">
        <w:rPr>
          <w:color w:val="000000"/>
        </w:rPr>
        <w:t>3</w:t>
      </w:r>
      <w:r w:rsidR="009D3120" w:rsidRPr="009973B7">
        <w:rPr>
          <w:color w:val="000000"/>
        </w:rPr>
        <w:t>. Міністерству економічного розвитку і торгівлі забезпечити застосування затвердженого цією постановою Технічного регламенту.</w:t>
      </w:r>
    </w:p>
    <w:p w:rsidR="00B675F7" w:rsidRPr="009973B7" w:rsidRDefault="004B0E68" w:rsidP="00B675F7">
      <w:pPr>
        <w:spacing w:line="360" w:lineRule="auto"/>
        <w:ind w:firstLine="709"/>
        <w:jc w:val="both"/>
      </w:pPr>
      <w:r w:rsidRPr="009973B7">
        <w:rPr>
          <w:color w:val="000000"/>
          <w:lang w:eastAsia="ru-RU"/>
        </w:rPr>
        <w:t>4</w:t>
      </w:r>
      <w:r w:rsidR="00E2055A" w:rsidRPr="009973B7">
        <w:rPr>
          <w:color w:val="000000"/>
          <w:lang w:eastAsia="ru-RU"/>
        </w:rPr>
        <w:t xml:space="preserve">. </w:t>
      </w:r>
      <w:r w:rsidR="00B675F7" w:rsidRPr="009973B7">
        <w:t xml:space="preserve">Ця постанова набирає чинності одночасно з набранням чинності Законом України від 5 червня 2014 </w:t>
      </w:r>
      <w:r w:rsidR="00D5777F" w:rsidRPr="009973B7">
        <w:t>р.</w:t>
      </w:r>
      <w:r w:rsidR="00B675F7" w:rsidRPr="009973B7">
        <w:t xml:space="preserve"> № 1314-</w:t>
      </w:r>
      <w:r w:rsidR="00B675F7" w:rsidRPr="009973B7">
        <w:rPr>
          <w:lang w:val="en-US"/>
        </w:rPr>
        <w:t>VII</w:t>
      </w:r>
      <w:r w:rsidR="00B675F7" w:rsidRPr="009973B7">
        <w:t xml:space="preserve"> "Про метрологію та метрологічну діяльність".</w:t>
      </w:r>
    </w:p>
    <w:p w:rsidR="00632C0B" w:rsidRPr="009973B7" w:rsidRDefault="00632C0B" w:rsidP="001B578A">
      <w:pPr>
        <w:spacing w:line="360" w:lineRule="auto"/>
        <w:ind w:firstLine="709"/>
        <w:jc w:val="both"/>
        <w:rPr>
          <w:color w:val="000000"/>
          <w:lang w:val="ru-RU" w:eastAsia="ru-RU"/>
        </w:rPr>
      </w:pPr>
    </w:p>
    <w:p w:rsidR="00531805" w:rsidRPr="009973B7" w:rsidRDefault="00531805" w:rsidP="001B578A">
      <w:pPr>
        <w:spacing w:line="360" w:lineRule="auto"/>
        <w:ind w:firstLine="709"/>
        <w:jc w:val="both"/>
        <w:rPr>
          <w:color w:val="000000"/>
          <w:lang w:val="ru-RU" w:eastAsia="ru-RU"/>
        </w:rPr>
      </w:pPr>
    </w:p>
    <w:p w:rsidR="00632C0B" w:rsidRPr="009973B7" w:rsidRDefault="00632C0B" w:rsidP="00632C0B">
      <w:pPr>
        <w:shd w:val="clear" w:color="auto" w:fill="FFFFFF"/>
        <w:jc w:val="both"/>
        <w:rPr>
          <w:lang w:eastAsia="ru-RU"/>
        </w:rPr>
      </w:pPr>
      <w:r w:rsidRPr="009973B7">
        <w:rPr>
          <w:b/>
        </w:rPr>
        <w:t xml:space="preserve">Прем’єр-міністр України     </w:t>
      </w:r>
      <w:r w:rsidR="000836F5" w:rsidRPr="009973B7">
        <w:rPr>
          <w:b/>
        </w:rPr>
        <w:t xml:space="preserve"> </w:t>
      </w:r>
      <w:r w:rsidRPr="009973B7">
        <w:rPr>
          <w:b/>
        </w:rPr>
        <w:t xml:space="preserve">                           </w:t>
      </w:r>
      <w:r w:rsidR="001B30AA" w:rsidRPr="009973B7">
        <w:rPr>
          <w:b/>
        </w:rPr>
        <w:t xml:space="preserve">   </w:t>
      </w:r>
      <w:r w:rsidR="009D3120" w:rsidRPr="009973B7">
        <w:rPr>
          <w:b/>
        </w:rPr>
        <w:t xml:space="preserve">      </w:t>
      </w:r>
      <w:r w:rsidR="000836F5" w:rsidRPr="009973B7">
        <w:rPr>
          <w:b/>
        </w:rPr>
        <w:t xml:space="preserve">          </w:t>
      </w:r>
      <w:r w:rsidR="009D3120" w:rsidRPr="009973B7">
        <w:rPr>
          <w:b/>
        </w:rPr>
        <w:t xml:space="preserve">           А</w:t>
      </w:r>
      <w:r w:rsidR="000836F5" w:rsidRPr="009973B7">
        <w:rPr>
          <w:b/>
        </w:rPr>
        <w:t>.</w:t>
      </w:r>
      <w:r w:rsidRPr="009973B7">
        <w:rPr>
          <w:b/>
        </w:rPr>
        <w:t xml:space="preserve"> </w:t>
      </w:r>
      <w:r w:rsidR="009D3120" w:rsidRPr="009973B7">
        <w:rPr>
          <w:b/>
        </w:rPr>
        <w:t>ЯЦЕНЮК</w:t>
      </w:r>
    </w:p>
    <w:p w:rsidR="00632C0B" w:rsidRPr="009973B7" w:rsidRDefault="00632C0B" w:rsidP="00632C0B">
      <w:pPr>
        <w:spacing w:line="360" w:lineRule="auto"/>
        <w:jc w:val="both"/>
        <w:rPr>
          <w:color w:val="000000"/>
          <w:lang w:val="en-US" w:eastAsia="ru-RU"/>
        </w:rPr>
      </w:pPr>
    </w:p>
    <w:p w:rsidR="0050219C" w:rsidRPr="009973B7" w:rsidRDefault="0050219C" w:rsidP="00632C0B">
      <w:pPr>
        <w:spacing w:line="360" w:lineRule="auto"/>
        <w:jc w:val="both"/>
        <w:rPr>
          <w:color w:val="000000"/>
          <w:lang w:val="en-US" w:eastAsia="ru-RU"/>
        </w:rPr>
      </w:pPr>
    </w:p>
    <w:p w:rsidR="0050219C" w:rsidRPr="009973B7" w:rsidRDefault="0050219C" w:rsidP="00632C0B">
      <w:pPr>
        <w:spacing w:line="360" w:lineRule="auto"/>
        <w:jc w:val="both"/>
        <w:rPr>
          <w:color w:val="000000"/>
          <w:lang w:val="en-US" w:eastAsia="ru-RU"/>
        </w:rPr>
      </w:pPr>
    </w:p>
    <w:tbl>
      <w:tblPr>
        <w:tblW w:w="0" w:type="auto"/>
        <w:tblLook w:val="04A0" w:firstRow="1" w:lastRow="0" w:firstColumn="1" w:lastColumn="0" w:noHBand="0" w:noVBand="1"/>
      </w:tblPr>
      <w:tblGrid>
        <w:gridCol w:w="4341"/>
        <w:gridCol w:w="5229"/>
      </w:tblGrid>
      <w:tr w:rsidR="0050219C" w:rsidRPr="009973B7" w:rsidTr="00E23599">
        <w:trPr>
          <w:trHeight w:val="840"/>
        </w:trPr>
        <w:tc>
          <w:tcPr>
            <w:tcW w:w="4341" w:type="dxa"/>
            <w:shd w:val="clear" w:color="auto" w:fill="auto"/>
          </w:tcPr>
          <w:p w:rsidR="0050219C" w:rsidRPr="009973B7" w:rsidRDefault="0050219C" w:rsidP="00E23599">
            <w:pPr>
              <w:spacing w:line="360" w:lineRule="auto"/>
              <w:jc w:val="right"/>
              <w:rPr>
                <w:rStyle w:val="rvts9"/>
                <w:b/>
                <w:bCs/>
                <w:color w:val="000000"/>
                <w:bdr w:val="none" w:sz="0" w:space="0" w:color="auto" w:frame="1"/>
              </w:rPr>
            </w:pPr>
          </w:p>
        </w:tc>
        <w:tc>
          <w:tcPr>
            <w:tcW w:w="5229" w:type="dxa"/>
            <w:shd w:val="clear" w:color="auto" w:fill="auto"/>
          </w:tcPr>
          <w:p w:rsidR="0050219C" w:rsidRPr="009973B7" w:rsidRDefault="0050219C" w:rsidP="00E23599">
            <w:pPr>
              <w:jc w:val="center"/>
              <w:rPr>
                <w:lang w:val="ru-RU"/>
              </w:rPr>
            </w:pPr>
            <w:r w:rsidRPr="009973B7">
              <w:rPr>
                <w:rStyle w:val="rvts9"/>
                <w:bCs/>
                <w:color w:val="000000"/>
                <w:bdr w:val="none" w:sz="0" w:space="0" w:color="auto" w:frame="1"/>
              </w:rPr>
              <w:t>ЗАТВЕРДЖЕНО</w:t>
            </w:r>
          </w:p>
          <w:p w:rsidR="0050219C" w:rsidRPr="009973B7" w:rsidRDefault="0050219C" w:rsidP="00E23599">
            <w:pPr>
              <w:jc w:val="center"/>
              <w:rPr>
                <w:lang w:val="ru-RU"/>
              </w:rPr>
            </w:pPr>
            <w:r w:rsidRPr="009973B7">
              <w:rPr>
                <w:rStyle w:val="rvts9"/>
                <w:bCs/>
                <w:color w:val="000000"/>
                <w:bdr w:val="none" w:sz="0" w:space="0" w:color="auto" w:frame="1"/>
              </w:rPr>
              <w:t>постановою Кабінету Міністрів України</w:t>
            </w:r>
          </w:p>
          <w:p w:rsidR="0050219C" w:rsidRPr="009973B7" w:rsidRDefault="0050219C" w:rsidP="00E23599">
            <w:pPr>
              <w:jc w:val="center"/>
              <w:rPr>
                <w:rStyle w:val="rvts9"/>
                <w:color w:val="000000"/>
                <w:lang w:eastAsia="ru-RU"/>
              </w:rPr>
            </w:pPr>
            <w:r w:rsidRPr="009973B7">
              <w:t xml:space="preserve">від                                 2014 р. №       </w:t>
            </w:r>
          </w:p>
        </w:tc>
      </w:tr>
    </w:tbl>
    <w:p w:rsidR="0050219C" w:rsidRPr="009973B7" w:rsidRDefault="0050219C" w:rsidP="0050219C">
      <w:pPr>
        <w:spacing w:line="360" w:lineRule="auto"/>
        <w:rPr>
          <w:b/>
        </w:rPr>
      </w:pPr>
    </w:p>
    <w:p w:rsidR="0050219C" w:rsidRPr="009973B7" w:rsidRDefault="0050219C" w:rsidP="0050219C">
      <w:pPr>
        <w:jc w:val="center"/>
        <w:rPr>
          <w:b/>
        </w:rPr>
      </w:pPr>
      <w:r w:rsidRPr="009973B7">
        <w:rPr>
          <w:b/>
        </w:rPr>
        <w:t>ТЕХНІЧНИЙ РЕГЛАМЕНТ</w:t>
      </w:r>
    </w:p>
    <w:p w:rsidR="0050219C" w:rsidRPr="009973B7" w:rsidRDefault="0050219C" w:rsidP="0050219C">
      <w:pPr>
        <w:jc w:val="center"/>
        <w:rPr>
          <w:b/>
        </w:rPr>
      </w:pPr>
      <w:r w:rsidRPr="009973B7">
        <w:rPr>
          <w:b/>
        </w:rPr>
        <w:t xml:space="preserve"> щодо деяких товарів, які фасують за масою та </w:t>
      </w:r>
    </w:p>
    <w:p w:rsidR="0050219C" w:rsidRPr="009973B7" w:rsidRDefault="0050219C" w:rsidP="0050219C">
      <w:pPr>
        <w:jc w:val="center"/>
        <w:rPr>
          <w:b/>
        </w:rPr>
      </w:pPr>
      <w:r w:rsidRPr="009973B7">
        <w:rPr>
          <w:b/>
        </w:rPr>
        <w:t>об’ємом у готову упаковку</w:t>
      </w:r>
    </w:p>
    <w:p w:rsidR="0050219C" w:rsidRPr="009973B7" w:rsidRDefault="0050219C" w:rsidP="0050219C">
      <w:pPr>
        <w:jc w:val="center"/>
        <w:rPr>
          <w:b/>
        </w:rPr>
      </w:pPr>
    </w:p>
    <w:p w:rsidR="0050219C" w:rsidRPr="009973B7" w:rsidRDefault="0050219C" w:rsidP="0050219C">
      <w:pPr>
        <w:autoSpaceDE w:val="0"/>
        <w:autoSpaceDN w:val="0"/>
        <w:adjustRightInd w:val="0"/>
        <w:spacing w:line="360" w:lineRule="auto"/>
        <w:ind w:firstLine="601"/>
        <w:jc w:val="both"/>
      </w:pPr>
      <w:r w:rsidRPr="009973B7">
        <w:rPr>
          <w:lang w:val="ru-RU"/>
        </w:rPr>
        <w:t>1</w:t>
      </w:r>
      <w:r w:rsidRPr="009973B7">
        <w:t>.</w:t>
      </w:r>
      <w:r w:rsidRPr="009973B7">
        <w:rPr>
          <w:lang w:val="ru-RU"/>
        </w:rPr>
        <w:t xml:space="preserve"> </w:t>
      </w:r>
      <w:r w:rsidRPr="009973B7">
        <w:t>Дія</w:t>
      </w:r>
      <w:r w:rsidRPr="009973B7">
        <w:rPr>
          <w:lang w:val="ru-RU"/>
        </w:rPr>
        <w:t xml:space="preserve"> </w:t>
      </w:r>
      <w:r w:rsidRPr="009973B7">
        <w:t>цього</w:t>
      </w:r>
      <w:r w:rsidRPr="009973B7">
        <w:rPr>
          <w:lang w:val="ru-RU"/>
        </w:rPr>
        <w:t xml:space="preserve"> </w:t>
      </w:r>
      <w:r w:rsidRPr="009973B7">
        <w:t>Технічного регламенту поширюється на упаковані одиниці, що містять</w:t>
      </w:r>
      <w:r w:rsidRPr="009973B7">
        <w:rPr>
          <w:lang w:val="ru-RU"/>
        </w:rPr>
        <w:t xml:space="preserve"> </w:t>
      </w:r>
      <w:r w:rsidRPr="009973B7">
        <w:t>товари</w:t>
      </w:r>
      <w:r w:rsidRPr="009973B7">
        <w:rPr>
          <w:lang w:val="ru-RU"/>
        </w:rPr>
        <w:t xml:space="preserve">, </w:t>
      </w:r>
      <w:r w:rsidRPr="009973B7">
        <w:t xml:space="preserve">призначені для продажу в номінальних кількостях постійних одиниць, які: </w:t>
      </w:r>
    </w:p>
    <w:p w:rsidR="0050219C" w:rsidRPr="009973B7" w:rsidRDefault="0050219C" w:rsidP="0050219C">
      <w:pPr>
        <w:autoSpaceDE w:val="0"/>
        <w:autoSpaceDN w:val="0"/>
        <w:adjustRightInd w:val="0"/>
        <w:spacing w:line="360" w:lineRule="auto"/>
        <w:ind w:firstLine="601"/>
        <w:jc w:val="both"/>
      </w:pPr>
      <w:r w:rsidRPr="009973B7">
        <w:t>дорівнюють значенням, попередньо визначеним пакувальником;</w:t>
      </w:r>
    </w:p>
    <w:p w:rsidR="0050219C" w:rsidRPr="009973B7" w:rsidRDefault="0050219C" w:rsidP="0050219C">
      <w:pPr>
        <w:autoSpaceDE w:val="0"/>
        <w:autoSpaceDN w:val="0"/>
        <w:adjustRightInd w:val="0"/>
        <w:spacing w:line="360" w:lineRule="auto"/>
        <w:ind w:firstLine="601"/>
        <w:jc w:val="both"/>
      </w:pPr>
      <w:r w:rsidRPr="009973B7">
        <w:t>виражені в одиницях маси чи об’єму;</w:t>
      </w:r>
    </w:p>
    <w:p w:rsidR="0050219C" w:rsidRPr="009973B7" w:rsidRDefault="0050219C" w:rsidP="0050219C">
      <w:pPr>
        <w:spacing w:line="360" w:lineRule="auto"/>
        <w:ind w:firstLine="601"/>
        <w:jc w:val="both"/>
      </w:pPr>
      <w:r w:rsidRPr="009973B7">
        <w:lastRenderedPageBreak/>
        <w:t xml:space="preserve">є не менше ніж </w:t>
      </w:r>
      <w:smartTag w:uri="urn:schemas-microsoft-com:office:smarttags" w:element="metricconverter">
        <w:smartTagPr>
          <w:attr w:name="ProductID" w:val="5 г"/>
        </w:smartTagPr>
        <w:r w:rsidRPr="009973B7">
          <w:t>5 г</w:t>
        </w:r>
      </w:smartTag>
      <w:r w:rsidRPr="009973B7">
        <w:t xml:space="preserve"> чи 5 </w:t>
      </w:r>
      <w:proofErr w:type="spellStart"/>
      <w:r w:rsidRPr="009973B7">
        <w:t>мл</w:t>
      </w:r>
      <w:proofErr w:type="spellEnd"/>
      <w:r w:rsidRPr="009973B7">
        <w:t xml:space="preserve"> та не більше ніж </w:t>
      </w:r>
      <w:smartTag w:uri="urn:schemas-microsoft-com:office:smarttags" w:element="metricconverter">
        <w:smartTagPr>
          <w:attr w:name="ProductID" w:val="50 кг"/>
        </w:smartTagPr>
        <w:r w:rsidRPr="009973B7">
          <w:t>50 кг</w:t>
        </w:r>
      </w:smartTag>
      <w:r w:rsidRPr="009973B7">
        <w:t xml:space="preserve"> чи </w:t>
      </w:r>
      <w:smartTag w:uri="urn:schemas-microsoft-com:office:smarttags" w:element="metricconverter">
        <w:smartTagPr>
          <w:attr w:name="ProductID" w:val="50 л"/>
        </w:smartTagPr>
        <w:r w:rsidRPr="009973B7">
          <w:t>50 л</w:t>
        </w:r>
      </w:smartTag>
      <w:r w:rsidRPr="009973B7">
        <w:t>.</w:t>
      </w:r>
    </w:p>
    <w:p w:rsidR="0050219C" w:rsidRPr="009973B7" w:rsidRDefault="0050219C" w:rsidP="0050219C">
      <w:pPr>
        <w:spacing w:line="360" w:lineRule="auto"/>
        <w:ind w:firstLine="601"/>
        <w:jc w:val="both"/>
        <w:rPr>
          <w:bCs/>
        </w:rPr>
      </w:pPr>
      <w:r w:rsidRPr="009973B7">
        <w:t>Цей Технічний регламент розроблено на основі Директиви Ради Європейських Співтовариств</w:t>
      </w:r>
      <w:r w:rsidRPr="009973B7">
        <w:rPr>
          <w:color w:val="000000"/>
        </w:rPr>
        <w:t xml:space="preserve"> від</w:t>
      </w:r>
      <w:r w:rsidRPr="009973B7">
        <w:t xml:space="preserve"> 20 січня 1976 р. № 76/211/ЄEC</w:t>
      </w:r>
      <w:r w:rsidRPr="009973B7">
        <w:rPr>
          <w:bCs/>
        </w:rPr>
        <w:t xml:space="preserve"> про наближення законодавства держав-членів щодо компонування за масою чи за об’ємом окремих розфасованих товарів. Таблиця відповідності положень зазначеної Директиви та положень цього Технічного регламенту наведена в додатку 1. </w:t>
      </w:r>
    </w:p>
    <w:p w:rsidR="0050219C" w:rsidRPr="009973B7" w:rsidRDefault="0050219C" w:rsidP="0050219C">
      <w:pPr>
        <w:spacing w:line="360" w:lineRule="auto"/>
        <w:ind w:firstLine="567"/>
        <w:jc w:val="both"/>
      </w:pPr>
      <w:r w:rsidRPr="009973B7">
        <w:t>2. Для цілей цього Технічного регламенту терміни вживаються в такому значенні:</w:t>
      </w:r>
    </w:p>
    <w:p w:rsidR="0050219C" w:rsidRPr="009973B7" w:rsidRDefault="0050219C" w:rsidP="0050219C">
      <w:pPr>
        <w:spacing w:line="360" w:lineRule="auto"/>
        <w:ind w:firstLine="567"/>
        <w:jc w:val="both"/>
      </w:pPr>
      <w:r w:rsidRPr="009973B7">
        <w:t>знак "е" – знак відповідності упакованої одиниці вимогам цього Технічного регламенту;</w:t>
      </w:r>
    </w:p>
    <w:p w:rsidR="0050219C" w:rsidRPr="009973B7" w:rsidRDefault="0050219C" w:rsidP="0050219C">
      <w:pPr>
        <w:spacing w:line="360" w:lineRule="auto"/>
        <w:ind w:firstLine="567"/>
        <w:jc w:val="both"/>
        <w:rPr>
          <w:rFonts w:ascii="Arial" w:hAnsi="Arial" w:cs="Arial"/>
          <w:color w:val="333333"/>
        </w:rPr>
      </w:pPr>
      <w:r w:rsidRPr="009973B7">
        <w:t>імпортер – будь-яка фізична чи юридична особа – резидент України, яка вводить в обіг на ринку України фасований товар походженням з іншої країни;</w:t>
      </w:r>
    </w:p>
    <w:p w:rsidR="0050219C" w:rsidRPr="009973B7" w:rsidRDefault="0050219C" w:rsidP="0050219C">
      <w:pPr>
        <w:spacing w:line="360" w:lineRule="auto"/>
        <w:ind w:firstLine="567"/>
        <w:jc w:val="both"/>
      </w:pPr>
      <w:r w:rsidRPr="009973B7">
        <w:t xml:space="preserve">пакувальник – будь-яка фізична чи юридична особа, що займається упакуванням товару за відсутності покупця; </w:t>
      </w:r>
    </w:p>
    <w:p w:rsidR="0050219C" w:rsidRPr="009973B7" w:rsidRDefault="0050219C" w:rsidP="0050219C">
      <w:pPr>
        <w:spacing w:line="360" w:lineRule="auto"/>
        <w:ind w:firstLine="567"/>
        <w:jc w:val="both"/>
      </w:pPr>
      <w:r w:rsidRPr="009973B7">
        <w:t>упакована одиниця – поєднання товару та індивідуальної упаковки, у яку він упакований.</w:t>
      </w:r>
    </w:p>
    <w:p w:rsidR="0050219C" w:rsidRPr="009973B7" w:rsidRDefault="0050219C" w:rsidP="0050219C">
      <w:pPr>
        <w:spacing w:line="360" w:lineRule="auto"/>
        <w:ind w:firstLine="567"/>
        <w:jc w:val="both"/>
      </w:pPr>
      <w:r w:rsidRPr="009973B7">
        <w:t>3. Товар вважається фасованим у разі, коли він поміщений в упаковку будь-якого походження за відсутності покупця і кількість товару, що міститься в упаковці, має попередньо визначене значення та не може бути змінена без відкриття упаковки або її помітного змінення.</w:t>
      </w:r>
    </w:p>
    <w:p w:rsidR="0050219C" w:rsidRPr="009973B7" w:rsidRDefault="0050219C" w:rsidP="0050219C">
      <w:pPr>
        <w:spacing w:line="360" w:lineRule="auto"/>
        <w:ind w:firstLine="567"/>
        <w:jc w:val="both"/>
      </w:pPr>
      <w:r w:rsidRPr="009973B7">
        <w:t>4. Упаковані одиниці, на яких може бути нанесено знак "е", передбачений підпунктом 3 пункту 6 додатка 2, є такими, що відповідають цьому Технічному регламенту та додатку 2 до нього.</w:t>
      </w:r>
    </w:p>
    <w:p w:rsidR="0050219C" w:rsidRPr="009973B7" w:rsidRDefault="0050219C" w:rsidP="0050219C">
      <w:pPr>
        <w:spacing w:line="360" w:lineRule="auto"/>
        <w:ind w:firstLine="567"/>
        <w:jc w:val="both"/>
      </w:pPr>
      <w:r w:rsidRPr="009973B7">
        <w:t>5. Упаковані одиниці, визначені в пунктах 1 і 4 цього Технічного регламенту, є об’єктом метрологічного нагляду за умов, визначених у пункті 8 додатка 2 та в додатку 3.</w:t>
      </w:r>
    </w:p>
    <w:p w:rsidR="0050219C" w:rsidRPr="009973B7" w:rsidRDefault="0050219C" w:rsidP="0050219C">
      <w:pPr>
        <w:spacing w:line="360" w:lineRule="auto"/>
        <w:ind w:firstLine="540"/>
        <w:jc w:val="both"/>
      </w:pPr>
      <w:r w:rsidRPr="009973B7">
        <w:t>6. На всіх упакованих одиницях, визначених у пунктах 4 і 5 цього Технічного регламенту, повинно бути зазначено відповідно до додатка 2 масу чи об’єм товару, відомі як "номінальна маса" чи "номінальний об’єм", які вони повинні містити.</w:t>
      </w:r>
    </w:p>
    <w:p w:rsidR="0050219C" w:rsidRPr="009973B7" w:rsidRDefault="0050219C" w:rsidP="0050219C">
      <w:pPr>
        <w:autoSpaceDE w:val="0"/>
        <w:autoSpaceDN w:val="0"/>
        <w:adjustRightInd w:val="0"/>
        <w:spacing w:line="360" w:lineRule="auto"/>
        <w:ind w:firstLine="567"/>
        <w:jc w:val="both"/>
        <w:rPr>
          <w:strike/>
        </w:rPr>
      </w:pPr>
      <w:r w:rsidRPr="009973B7">
        <w:t>7. На упакованих одиницях, що містять рідкі товари, зазначають їх номінальний об’єм, а на упакованих одиницях, що містять інші товари, – їх номінальну масу, якщо інше не встановлено законодавством.</w:t>
      </w:r>
    </w:p>
    <w:p w:rsidR="0050219C" w:rsidRPr="009973B7" w:rsidRDefault="0050219C" w:rsidP="0050219C">
      <w:pPr>
        <w:spacing w:line="360" w:lineRule="auto"/>
        <w:ind w:firstLine="540"/>
        <w:jc w:val="both"/>
      </w:pPr>
      <w:r w:rsidRPr="009973B7">
        <w:t>8. Введення в обіг упакованих одиниць, що відповідають вимогам та пройшли випробування, які встановлені в цьому Технічному регламенті, не може бути заборонене або обмежене з причин, пов’язаних із маркуванням, що повинно бути нанесене на таких упакованих одиницях відповідно до цього Технічного регламенту, визначенням їхнього об’єму чи маси або методами, за допомогою яких було проведено їх визначення чи контроль.</w:t>
      </w:r>
    </w:p>
    <w:p w:rsidR="0050219C" w:rsidRPr="009973B7" w:rsidRDefault="0050219C" w:rsidP="0050219C">
      <w:pPr>
        <w:spacing w:line="360" w:lineRule="auto"/>
        <w:ind w:firstLine="540"/>
        <w:jc w:val="center"/>
      </w:pPr>
      <w:r w:rsidRPr="009973B7">
        <w:lastRenderedPageBreak/>
        <w:t>________________________________</w:t>
      </w:r>
    </w:p>
    <w:p w:rsidR="0050219C" w:rsidRPr="009973B7" w:rsidRDefault="0050219C" w:rsidP="00632C0B">
      <w:pPr>
        <w:spacing w:line="360" w:lineRule="auto"/>
        <w:jc w:val="both"/>
        <w:rPr>
          <w:color w:val="000000"/>
          <w:lang w:val="en-US" w:eastAsia="ru-RU"/>
        </w:rPr>
      </w:pPr>
    </w:p>
    <w:p w:rsidR="0050219C" w:rsidRPr="009973B7" w:rsidRDefault="0050219C" w:rsidP="0050219C">
      <w:pPr>
        <w:autoSpaceDE w:val="0"/>
        <w:autoSpaceDN w:val="0"/>
        <w:adjustRightInd w:val="0"/>
        <w:ind w:left="5040"/>
        <w:jc w:val="center"/>
      </w:pPr>
      <w:r w:rsidRPr="009973B7">
        <w:t>Додаток 1</w:t>
      </w:r>
      <w:r w:rsidRPr="009973B7">
        <w:br/>
        <w:t>до Технічного регламенту</w:t>
      </w:r>
    </w:p>
    <w:p w:rsidR="0050219C" w:rsidRPr="009973B7" w:rsidRDefault="0050219C" w:rsidP="0050219C">
      <w:pPr>
        <w:ind w:left="5040"/>
        <w:jc w:val="center"/>
      </w:pPr>
      <w:r w:rsidRPr="009973B7">
        <w:t>щодо деяких товарів, які фасують</w:t>
      </w:r>
    </w:p>
    <w:p w:rsidR="0050219C" w:rsidRPr="009973B7" w:rsidRDefault="0050219C" w:rsidP="0050219C">
      <w:pPr>
        <w:pStyle w:val="ac"/>
        <w:ind w:left="5040"/>
        <w:rPr>
          <w:rFonts w:ascii="Times New Roman" w:hAnsi="Times New Roman" w:cs="Times New Roman"/>
          <w:sz w:val="24"/>
          <w:szCs w:val="24"/>
        </w:rPr>
      </w:pPr>
      <w:r w:rsidRPr="009973B7">
        <w:rPr>
          <w:rFonts w:ascii="Times New Roman" w:hAnsi="Times New Roman" w:cs="Times New Roman"/>
          <w:sz w:val="24"/>
          <w:szCs w:val="24"/>
        </w:rPr>
        <w:t>за масою та об’ємом у готову упаковку</w:t>
      </w:r>
    </w:p>
    <w:p w:rsidR="0050219C" w:rsidRPr="009973B7" w:rsidRDefault="0050219C" w:rsidP="0050219C">
      <w:pPr>
        <w:autoSpaceDE w:val="0"/>
        <w:autoSpaceDN w:val="0"/>
        <w:adjustRightInd w:val="0"/>
        <w:spacing w:before="120" w:after="120"/>
        <w:ind w:firstLine="709"/>
        <w:jc w:val="center"/>
        <w:rPr>
          <w:b/>
        </w:rPr>
      </w:pPr>
      <w:r w:rsidRPr="009973B7">
        <w:rPr>
          <w:b/>
        </w:rPr>
        <w:t>ТАБЛИЦЯ ВІДПОВІДНОСТІ</w:t>
      </w:r>
    </w:p>
    <w:p w:rsidR="0050219C" w:rsidRPr="009973B7" w:rsidRDefault="0050219C" w:rsidP="0050219C">
      <w:pPr>
        <w:autoSpaceDE w:val="0"/>
        <w:autoSpaceDN w:val="0"/>
        <w:adjustRightInd w:val="0"/>
        <w:ind w:firstLine="709"/>
        <w:jc w:val="center"/>
        <w:rPr>
          <w:lang w:val="ru-RU"/>
        </w:rPr>
      </w:pPr>
      <w:r w:rsidRPr="009973B7">
        <w:t xml:space="preserve">положень Директиви Ради Європейських Співтовариств </w:t>
      </w:r>
    </w:p>
    <w:p w:rsidR="0050219C" w:rsidRPr="009973B7" w:rsidRDefault="0050219C" w:rsidP="0050219C">
      <w:pPr>
        <w:autoSpaceDE w:val="0"/>
        <w:autoSpaceDN w:val="0"/>
        <w:adjustRightInd w:val="0"/>
        <w:ind w:firstLine="709"/>
        <w:jc w:val="center"/>
        <w:rPr>
          <w:lang w:val="ru-RU"/>
        </w:rPr>
      </w:pPr>
      <w:r w:rsidRPr="009973B7">
        <w:rPr>
          <w:color w:val="000000"/>
        </w:rPr>
        <w:t>від</w:t>
      </w:r>
      <w:r w:rsidRPr="009973B7">
        <w:t xml:space="preserve"> 20 січня 1976 р. № 76/211/ЄEC про наближення законодавства держав-членів щодо компонування за масою чи за об’ємом окремих розфасованих товарів</w:t>
      </w:r>
      <w:r w:rsidRPr="009973B7">
        <w:rPr>
          <w:color w:val="000000"/>
        </w:rPr>
        <w:t xml:space="preserve"> та положень </w:t>
      </w:r>
      <w:r w:rsidRPr="009973B7">
        <w:t xml:space="preserve">Технічного регламенту щодо деяких товарів, </w:t>
      </w:r>
    </w:p>
    <w:p w:rsidR="0050219C" w:rsidRPr="009973B7" w:rsidRDefault="0050219C" w:rsidP="0050219C">
      <w:pPr>
        <w:autoSpaceDE w:val="0"/>
        <w:autoSpaceDN w:val="0"/>
        <w:adjustRightInd w:val="0"/>
        <w:ind w:firstLine="709"/>
        <w:jc w:val="center"/>
      </w:pPr>
      <w:r w:rsidRPr="009973B7">
        <w:t>що фасують за масою та об’ємом у готову упаковку</w:t>
      </w:r>
    </w:p>
    <w:p w:rsidR="0050219C" w:rsidRPr="009973B7" w:rsidRDefault="0050219C" w:rsidP="0050219C">
      <w:pPr>
        <w:autoSpaceDE w:val="0"/>
        <w:autoSpaceDN w:val="0"/>
        <w:adjustRightInd w:val="0"/>
        <w:spacing w:before="120" w:after="120"/>
        <w:ind w:firstLine="709"/>
        <w:jc w:val="center"/>
        <w:rPr>
          <w:b/>
        </w:rPr>
      </w:pPr>
    </w:p>
    <w:tbl>
      <w:tblPr>
        <w:tblW w:w="5000" w:type="pct"/>
        <w:tblLook w:val="01E0" w:firstRow="1" w:lastRow="1" w:firstColumn="1" w:lastColumn="1" w:noHBand="0" w:noVBand="0"/>
      </w:tblPr>
      <w:tblGrid>
        <w:gridCol w:w="4937"/>
        <w:gridCol w:w="4917"/>
      </w:tblGrid>
      <w:tr w:rsidR="0050219C" w:rsidRPr="009973B7" w:rsidTr="00E23599">
        <w:trPr>
          <w:tblHeader/>
        </w:trPr>
        <w:tc>
          <w:tcPr>
            <w:tcW w:w="2505" w:type="pct"/>
            <w:tcBorders>
              <w:top w:val="single" w:sz="4" w:space="0" w:color="auto"/>
              <w:left w:val="nil"/>
              <w:bottom w:val="single" w:sz="4" w:space="0" w:color="auto"/>
              <w:right w:val="single" w:sz="4" w:space="0" w:color="auto"/>
            </w:tcBorders>
            <w:vAlign w:val="center"/>
          </w:tcPr>
          <w:p w:rsidR="0050219C" w:rsidRPr="009973B7" w:rsidRDefault="0050219C" w:rsidP="00E23599">
            <w:pPr>
              <w:pStyle w:val="ab"/>
              <w:ind w:firstLine="0"/>
              <w:jc w:val="center"/>
              <w:rPr>
                <w:rFonts w:ascii="Times New Roman" w:hAnsi="Times New Roman" w:cs="Times New Roman"/>
                <w:sz w:val="24"/>
                <w:szCs w:val="24"/>
              </w:rPr>
            </w:pPr>
            <w:r w:rsidRPr="009973B7">
              <w:rPr>
                <w:rFonts w:ascii="Times New Roman" w:hAnsi="Times New Roman" w:cs="Times New Roman"/>
                <w:sz w:val="24"/>
                <w:szCs w:val="24"/>
              </w:rPr>
              <w:t xml:space="preserve">Положення </w:t>
            </w:r>
            <w:r w:rsidRPr="009973B7">
              <w:rPr>
                <w:rFonts w:ascii="Times New Roman" w:hAnsi="Times New Roman" w:cs="Times New Roman"/>
                <w:color w:val="000000"/>
                <w:sz w:val="24"/>
                <w:szCs w:val="24"/>
              </w:rPr>
              <w:t>Директиви</w:t>
            </w:r>
          </w:p>
        </w:tc>
        <w:tc>
          <w:tcPr>
            <w:tcW w:w="2495" w:type="pct"/>
            <w:tcBorders>
              <w:top w:val="single" w:sz="4" w:space="0" w:color="auto"/>
              <w:left w:val="single" w:sz="4" w:space="0" w:color="auto"/>
              <w:bottom w:val="single" w:sz="4" w:space="0" w:color="auto"/>
              <w:right w:val="nil"/>
            </w:tcBorders>
            <w:vAlign w:val="center"/>
          </w:tcPr>
          <w:p w:rsidR="0050219C" w:rsidRPr="009973B7" w:rsidRDefault="0050219C" w:rsidP="00E23599">
            <w:pPr>
              <w:pStyle w:val="ab"/>
              <w:ind w:firstLine="0"/>
              <w:jc w:val="center"/>
              <w:rPr>
                <w:rFonts w:ascii="Times New Roman" w:hAnsi="Times New Roman" w:cs="Times New Roman"/>
                <w:sz w:val="24"/>
                <w:szCs w:val="24"/>
              </w:rPr>
            </w:pPr>
            <w:r w:rsidRPr="009973B7">
              <w:rPr>
                <w:rFonts w:ascii="Times New Roman" w:hAnsi="Times New Roman" w:cs="Times New Roman"/>
                <w:sz w:val="24"/>
                <w:szCs w:val="24"/>
              </w:rPr>
              <w:t xml:space="preserve">Положення Технічного регламенту </w:t>
            </w:r>
          </w:p>
        </w:tc>
      </w:tr>
      <w:tr w:rsidR="0050219C" w:rsidRPr="009973B7" w:rsidTr="00E23599">
        <w:tc>
          <w:tcPr>
            <w:tcW w:w="2505" w:type="pct"/>
            <w:tcBorders>
              <w:top w:val="single" w:sz="4" w:space="0" w:color="auto"/>
              <w:left w:val="nil"/>
              <w:right w:val="nil"/>
            </w:tcBorders>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t>Стаття 1</w:t>
            </w:r>
          </w:p>
        </w:tc>
        <w:tc>
          <w:tcPr>
            <w:tcW w:w="2495" w:type="pct"/>
            <w:tcBorders>
              <w:top w:val="single" w:sz="4" w:space="0" w:color="auto"/>
              <w:left w:val="nil"/>
              <w:right w:val="nil"/>
            </w:tcBorders>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 xml:space="preserve">пункт </w:t>
            </w:r>
            <w:r w:rsidRPr="009973B7">
              <w:rPr>
                <w:rFonts w:ascii="Times New Roman" w:hAnsi="Times New Roman" w:cs="Times New Roman"/>
                <w:sz w:val="24"/>
                <w:szCs w:val="24"/>
                <w:lang w:val="ru-RU"/>
              </w:rPr>
              <w:t>1</w:t>
            </w:r>
            <w:r w:rsidRPr="009973B7">
              <w:rPr>
                <w:rFonts w:ascii="Times New Roman" w:hAnsi="Times New Roman" w:cs="Times New Roman"/>
                <w:sz w:val="24"/>
                <w:szCs w:val="24"/>
              </w:rPr>
              <w:t xml:space="preserve"> Технічного регламенту</w:t>
            </w:r>
          </w:p>
        </w:tc>
      </w:tr>
      <w:tr w:rsidR="0050219C" w:rsidRPr="009973B7" w:rsidTr="00E23599">
        <w:tc>
          <w:tcPr>
            <w:tcW w:w="2505" w:type="pct"/>
            <w:tcBorders>
              <w:left w:val="nil"/>
              <w:bottom w:val="nil"/>
              <w:right w:val="nil"/>
            </w:tcBorders>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t>Пункт 1статті 2</w:t>
            </w:r>
          </w:p>
        </w:tc>
        <w:tc>
          <w:tcPr>
            <w:tcW w:w="2495" w:type="pct"/>
            <w:tcBorders>
              <w:left w:val="nil"/>
              <w:bottom w:val="nil"/>
              <w:right w:val="nil"/>
            </w:tcBorders>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абзац перший пункту 2</w:t>
            </w:r>
          </w:p>
        </w:tc>
      </w:tr>
      <w:tr w:rsidR="0050219C" w:rsidRPr="009973B7" w:rsidTr="00E23599">
        <w:tc>
          <w:tcPr>
            <w:tcW w:w="2505" w:type="pct"/>
          </w:tcPr>
          <w:p w:rsidR="0050219C" w:rsidRPr="009973B7" w:rsidRDefault="0050219C" w:rsidP="00E23599">
            <w:pPr>
              <w:pStyle w:val="ab"/>
              <w:ind w:left="360"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абзац другий пункту 2</w:t>
            </w:r>
          </w:p>
        </w:tc>
      </w:tr>
      <w:tr w:rsidR="0050219C" w:rsidRPr="009973B7" w:rsidTr="00E23599">
        <w:tc>
          <w:tcPr>
            <w:tcW w:w="2505" w:type="pct"/>
          </w:tcPr>
          <w:p w:rsidR="0050219C" w:rsidRPr="009973B7" w:rsidRDefault="0050219C" w:rsidP="00E23599">
            <w:pPr>
              <w:pStyle w:val="ab"/>
              <w:ind w:left="360"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абзац третій пункту 2</w:t>
            </w:r>
          </w:p>
        </w:tc>
      </w:tr>
      <w:tr w:rsidR="0050219C" w:rsidRPr="009973B7" w:rsidTr="00E23599">
        <w:tc>
          <w:tcPr>
            <w:tcW w:w="2505" w:type="pct"/>
          </w:tcPr>
          <w:p w:rsidR="0050219C" w:rsidRPr="009973B7" w:rsidRDefault="0050219C" w:rsidP="00E23599">
            <w:pPr>
              <w:pStyle w:val="ab"/>
              <w:ind w:left="360"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абзац четвертий пункту 2</w:t>
            </w:r>
          </w:p>
        </w:tc>
      </w:tr>
      <w:tr w:rsidR="0050219C" w:rsidRPr="009973B7" w:rsidTr="00E23599">
        <w:tc>
          <w:tcPr>
            <w:tcW w:w="2505" w:type="pct"/>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t>Пункт 1 статті 2</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абзац п’ятий пункту 2</w:t>
            </w:r>
          </w:p>
        </w:tc>
      </w:tr>
      <w:tr w:rsidR="0050219C" w:rsidRPr="009973B7" w:rsidTr="00E23599">
        <w:tc>
          <w:tcPr>
            <w:tcW w:w="2505" w:type="pct"/>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t>Пункт 2 статті 2</w:t>
            </w:r>
          </w:p>
        </w:tc>
        <w:tc>
          <w:tcPr>
            <w:tcW w:w="2495" w:type="pct"/>
          </w:tcPr>
          <w:p w:rsidR="0050219C" w:rsidRPr="009973B7" w:rsidRDefault="0050219C" w:rsidP="00E23599">
            <w:pPr>
              <w:pStyle w:val="ab"/>
              <w:ind w:left="283" w:firstLine="0"/>
              <w:rPr>
                <w:rFonts w:ascii="Times New Roman" w:hAnsi="Times New Roman" w:cs="Times New Roman"/>
                <w:b/>
                <w:bCs/>
                <w:sz w:val="24"/>
                <w:szCs w:val="24"/>
              </w:rPr>
            </w:pPr>
            <w:r w:rsidRPr="009973B7">
              <w:rPr>
                <w:rFonts w:ascii="Times New Roman" w:hAnsi="Times New Roman" w:cs="Times New Roman"/>
                <w:sz w:val="24"/>
                <w:szCs w:val="24"/>
              </w:rPr>
              <w:t xml:space="preserve">пункт </w:t>
            </w:r>
            <w:r w:rsidRPr="009973B7">
              <w:rPr>
                <w:rFonts w:ascii="Times New Roman" w:hAnsi="Times New Roman" w:cs="Times New Roman"/>
                <w:sz w:val="24"/>
                <w:szCs w:val="24"/>
                <w:lang w:val="en-US"/>
              </w:rPr>
              <w:t>3</w:t>
            </w:r>
            <w:r w:rsidRPr="009973B7">
              <w:rPr>
                <w:rFonts w:ascii="Times New Roman" w:hAnsi="Times New Roman" w:cs="Times New Roman"/>
                <w:sz w:val="24"/>
                <w:szCs w:val="24"/>
              </w:rPr>
              <w:t xml:space="preserve"> Технічного регламенту</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1 статті 3</w:t>
            </w:r>
          </w:p>
        </w:tc>
        <w:tc>
          <w:tcPr>
            <w:tcW w:w="2495" w:type="pct"/>
          </w:tcPr>
          <w:p w:rsidR="0050219C" w:rsidRPr="009973B7" w:rsidRDefault="0050219C" w:rsidP="00E23599">
            <w:pPr>
              <w:pStyle w:val="ab"/>
              <w:ind w:left="283" w:firstLine="0"/>
              <w:rPr>
                <w:sz w:val="24"/>
                <w:szCs w:val="24"/>
              </w:rPr>
            </w:pPr>
            <w:r w:rsidRPr="009973B7">
              <w:rPr>
                <w:rFonts w:ascii="Times New Roman" w:hAnsi="Times New Roman" w:cs="Times New Roman"/>
                <w:sz w:val="24"/>
                <w:szCs w:val="24"/>
              </w:rPr>
              <w:t>пункт 4 Технічного регламенту</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2 статті 3</w:t>
            </w:r>
          </w:p>
        </w:tc>
        <w:tc>
          <w:tcPr>
            <w:tcW w:w="2495" w:type="pct"/>
          </w:tcPr>
          <w:p w:rsidR="0050219C" w:rsidRPr="009973B7" w:rsidRDefault="0050219C" w:rsidP="00E23599">
            <w:pPr>
              <w:pStyle w:val="ab"/>
              <w:ind w:left="283" w:firstLine="0"/>
              <w:rPr>
                <w:sz w:val="24"/>
                <w:szCs w:val="24"/>
              </w:rPr>
            </w:pPr>
            <w:r w:rsidRPr="009973B7">
              <w:rPr>
                <w:rFonts w:ascii="Times New Roman" w:hAnsi="Times New Roman" w:cs="Times New Roman"/>
                <w:sz w:val="24"/>
                <w:szCs w:val="24"/>
              </w:rPr>
              <w:t>пункт 5 Технічного регламенту</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1 статті 4</w:t>
            </w:r>
          </w:p>
        </w:tc>
        <w:tc>
          <w:tcPr>
            <w:tcW w:w="2495" w:type="pct"/>
          </w:tcPr>
          <w:p w:rsidR="0050219C" w:rsidRPr="009973B7" w:rsidRDefault="0050219C" w:rsidP="00E23599">
            <w:pPr>
              <w:pStyle w:val="ab"/>
              <w:ind w:left="283" w:firstLine="0"/>
              <w:rPr>
                <w:sz w:val="24"/>
                <w:szCs w:val="24"/>
              </w:rPr>
            </w:pPr>
            <w:r w:rsidRPr="009973B7">
              <w:rPr>
                <w:rFonts w:ascii="Times New Roman" w:hAnsi="Times New Roman" w:cs="Times New Roman"/>
                <w:sz w:val="24"/>
                <w:szCs w:val="24"/>
              </w:rPr>
              <w:t>пункт 6 Технічного регламенту</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2 статті 4</w:t>
            </w:r>
          </w:p>
        </w:tc>
        <w:tc>
          <w:tcPr>
            <w:tcW w:w="2495" w:type="pct"/>
          </w:tcPr>
          <w:p w:rsidR="0050219C" w:rsidRPr="009973B7" w:rsidRDefault="0050219C" w:rsidP="00E23599">
            <w:pPr>
              <w:pStyle w:val="ab"/>
              <w:ind w:left="283" w:firstLine="0"/>
              <w:rPr>
                <w:sz w:val="24"/>
                <w:szCs w:val="24"/>
              </w:rPr>
            </w:pPr>
            <w:r w:rsidRPr="009973B7">
              <w:rPr>
                <w:rFonts w:ascii="Times New Roman" w:hAnsi="Times New Roman" w:cs="Times New Roman"/>
                <w:sz w:val="24"/>
                <w:szCs w:val="24"/>
              </w:rPr>
              <w:t>пункт 7 Технічного регламенту</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3 статті 4</w:t>
            </w:r>
          </w:p>
        </w:tc>
        <w:tc>
          <w:tcPr>
            <w:tcW w:w="2495" w:type="pct"/>
          </w:tcPr>
          <w:p w:rsidR="0050219C" w:rsidRPr="009973B7" w:rsidRDefault="0050219C" w:rsidP="00E23599">
            <w:pPr>
              <w:pStyle w:val="ab"/>
              <w:ind w:left="283"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4 статті 4</w:t>
            </w:r>
          </w:p>
        </w:tc>
        <w:tc>
          <w:tcPr>
            <w:tcW w:w="2495" w:type="pct"/>
          </w:tcPr>
          <w:p w:rsidR="0050219C" w:rsidRPr="009973B7" w:rsidRDefault="0050219C" w:rsidP="00E23599">
            <w:pPr>
              <w:pStyle w:val="ab"/>
              <w:ind w:left="283"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r>
      <w:tr w:rsidR="0050219C" w:rsidRPr="009973B7" w:rsidTr="00E23599">
        <w:tc>
          <w:tcPr>
            <w:tcW w:w="2505" w:type="pct"/>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t>Стаття 5</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пункт 8 Технічного регламенту</w:t>
            </w:r>
          </w:p>
        </w:tc>
      </w:tr>
      <w:tr w:rsidR="0050219C" w:rsidRPr="009973B7" w:rsidTr="00E23599">
        <w:tc>
          <w:tcPr>
            <w:tcW w:w="2505" w:type="pct"/>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t>Стаття 6</w:t>
            </w:r>
          </w:p>
        </w:tc>
        <w:tc>
          <w:tcPr>
            <w:tcW w:w="2495" w:type="pct"/>
          </w:tcPr>
          <w:p w:rsidR="0050219C" w:rsidRPr="009973B7" w:rsidRDefault="0050219C" w:rsidP="00E23599">
            <w:pPr>
              <w:pStyle w:val="ab"/>
              <w:ind w:left="283"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1 статті 7</w:t>
            </w:r>
          </w:p>
        </w:tc>
        <w:tc>
          <w:tcPr>
            <w:tcW w:w="2495" w:type="pct"/>
          </w:tcPr>
          <w:p w:rsidR="0050219C" w:rsidRPr="009973B7" w:rsidRDefault="0050219C" w:rsidP="00E23599">
            <w:pPr>
              <w:pStyle w:val="ab"/>
              <w:ind w:left="283"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2 статті 7</w:t>
            </w:r>
          </w:p>
        </w:tc>
        <w:tc>
          <w:tcPr>
            <w:tcW w:w="2495" w:type="pct"/>
          </w:tcPr>
          <w:p w:rsidR="0050219C" w:rsidRPr="009973B7" w:rsidRDefault="0050219C" w:rsidP="00E23599">
            <w:pPr>
              <w:pStyle w:val="ab"/>
              <w:ind w:left="283"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3 статті 7</w:t>
            </w:r>
          </w:p>
        </w:tc>
        <w:tc>
          <w:tcPr>
            <w:tcW w:w="2495" w:type="pct"/>
          </w:tcPr>
          <w:p w:rsidR="0050219C" w:rsidRPr="009973B7" w:rsidRDefault="0050219C" w:rsidP="00E23599">
            <w:pPr>
              <w:pStyle w:val="ab"/>
              <w:ind w:left="283" w:firstLine="0"/>
              <w:jc w:val="center"/>
              <w:rPr>
                <w:rFonts w:ascii="Times New Roman" w:hAnsi="Times New Roman"/>
                <w:sz w:val="24"/>
                <w:szCs w:val="24"/>
              </w:rPr>
            </w:pPr>
            <w:r w:rsidRPr="009973B7">
              <w:rPr>
                <w:rFonts w:ascii="Times New Roman" w:hAnsi="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4 статті 7</w:t>
            </w:r>
          </w:p>
        </w:tc>
        <w:tc>
          <w:tcPr>
            <w:tcW w:w="2495" w:type="pct"/>
          </w:tcPr>
          <w:p w:rsidR="0050219C" w:rsidRPr="009973B7" w:rsidRDefault="0050219C" w:rsidP="00E23599">
            <w:pPr>
              <w:pStyle w:val="ab"/>
              <w:ind w:left="283" w:firstLine="0"/>
              <w:jc w:val="center"/>
              <w:rPr>
                <w:rFonts w:ascii="Times New Roman" w:hAnsi="Times New Roman"/>
                <w:sz w:val="24"/>
                <w:szCs w:val="24"/>
              </w:rPr>
            </w:pPr>
            <w:r w:rsidRPr="009973B7">
              <w:rPr>
                <w:rFonts w:ascii="Times New Roman" w:hAnsi="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5 статті 7</w:t>
            </w:r>
          </w:p>
        </w:tc>
        <w:tc>
          <w:tcPr>
            <w:tcW w:w="2495" w:type="pct"/>
          </w:tcPr>
          <w:p w:rsidR="0050219C" w:rsidRPr="009973B7" w:rsidRDefault="0050219C" w:rsidP="00E23599">
            <w:pPr>
              <w:pStyle w:val="ab"/>
              <w:ind w:left="283" w:firstLine="0"/>
              <w:jc w:val="center"/>
              <w:rPr>
                <w:rFonts w:ascii="Times New Roman" w:hAnsi="Times New Roman"/>
                <w:sz w:val="24"/>
                <w:szCs w:val="24"/>
              </w:rPr>
            </w:pPr>
            <w:r w:rsidRPr="009973B7">
              <w:rPr>
                <w:rFonts w:ascii="Times New Roman" w:hAnsi="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Пункт 6 статті 7</w:t>
            </w:r>
          </w:p>
        </w:tc>
        <w:tc>
          <w:tcPr>
            <w:tcW w:w="2495" w:type="pct"/>
          </w:tcPr>
          <w:p w:rsidR="0050219C" w:rsidRPr="009973B7" w:rsidRDefault="0050219C" w:rsidP="00E23599">
            <w:pPr>
              <w:pStyle w:val="ab"/>
              <w:ind w:left="283" w:firstLine="0"/>
              <w:jc w:val="center"/>
              <w:rPr>
                <w:rFonts w:ascii="Times New Roman" w:hAnsi="Times New Roman"/>
                <w:sz w:val="24"/>
                <w:szCs w:val="24"/>
              </w:rPr>
            </w:pPr>
            <w:r w:rsidRPr="009973B7">
              <w:rPr>
                <w:rFonts w:ascii="Times New Roman" w:hAnsi="Times New Roman"/>
                <w:sz w:val="24"/>
                <w:szCs w:val="24"/>
              </w:rPr>
              <w:t>–</w:t>
            </w:r>
          </w:p>
        </w:tc>
      </w:tr>
      <w:tr w:rsidR="0050219C" w:rsidRPr="009973B7" w:rsidTr="00E23599">
        <w:tc>
          <w:tcPr>
            <w:tcW w:w="2505" w:type="pct"/>
          </w:tcPr>
          <w:p w:rsidR="0050219C" w:rsidRPr="009973B7" w:rsidRDefault="0050219C" w:rsidP="00E23599">
            <w:pPr>
              <w:pStyle w:val="ab"/>
              <w:ind w:left="360" w:firstLine="0"/>
              <w:rPr>
                <w:sz w:val="24"/>
                <w:szCs w:val="24"/>
              </w:rPr>
            </w:pPr>
            <w:r w:rsidRPr="009973B7">
              <w:rPr>
                <w:rFonts w:ascii="Times New Roman" w:hAnsi="Times New Roman" w:cs="Times New Roman"/>
                <w:sz w:val="24"/>
                <w:szCs w:val="24"/>
              </w:rPr>
              <w:t>Стаття 8</w:t>
            </w:r>
          </w:p>
        </w:tc>
        <w:tc>
          <w:tcPr>
            <w:tcW w:w="2495" w:type="pct"/>
          </w:tcPr>
          <w:p w:rsidR="0050219C" w:rsidRPr="009973B7" w:rsidRDefault="0050219C" w:rsidP="00E23599">
            <w:pPr>
              <w:pStyle w:val="ab"/>
              <w:ind w:left="283" w:firstLine="0"/>
              <w:jc w:val="center"/>
              <w:rPr>
                <w:rFonts w:ascii="Times New Roman" w:hAnsi="Times New Roman"/>
                <w:sz w:val="24"/>
                <w:szCs w:val="24"/>
              </w:rPr>
            </w:pPr>
            <w:r w:rsidRPr="009973B7">
              <w:rPr>
                <w:rFonts w:ascii="Times New Roman" w:hAnsi="Times New Roman"/>
                <w:sz w:val="24"/>
                <w:szCs w:val="24"/>
              </w:rPr>
              <w:t>–</w:t>
            </w:r>
          </w:p>
        </w:tc>
      </w:tr>
      <w:tr w:rsidR="0050219C" w:rsidRPr="009973B7" w:rsidTr="00E23599">
        <w:tc>
          <w:tcPr>
            <w:tcW w:w="2505" w:type="pct"/>
          </w:tcPr>
          <w:p w:rsidR="0050219C" w:rsidRPr="009973B7" w:rsidRDefault="0050219C" w:rsidP="00E23599">
            <w:pPr>
              <w:pStyle w:val="ab"/>
              <w:ind w:left="360" w:firstLine="0"/>
              <w:jc w:val="center"/>
              <w:rPr>
                <w:rFonts w:ascii="Times New Roman" w:hAnsi="Times New Roman" w:cs="Times New Roman"/>
                <w:sz w:val="24"/>
                <w:szCs w:val="24"/>
                <w:lang w:val="en-US"/>
              </w:rPr>
            </w:pPr>
            <w:r w:rsidRPr="009973B7">
              <w:rPr>
                <w:rFonts w:ascii="Times New Roman" w:hAnsi="Times New Roman" w:cs="Times New Roman"/>
                <w:sz w:val="24"/>
                <w:szCs w:val="24"/>
              </w:rPr>
              <w:t>–</w:t>
            </w:r>
          </w:p>
        </w:tc>
        <w:tc>
          <w:tcPr>
            <w:tcW w:w="2495" w:type="pct"/>
          </w:tcPr>
          <w:p w:rsidR="0050219C" w:rsidRPr="009973B7" w:rsidRDefault="0050219C" w:rsidP="00E23599">
            <w:pPr>
              <w:pStyle w:val="ab"/>
              <w:ind w:left="283" w:firstLine="0"/>
              <w:rPr>
                <w:rFonts w:ascii="Times New Roman" w:hAnsi="Times New Roman" w:cs="Times New Roman"/>
                <w:sz w:val="24"/>
                <w:szCs w:val="24"/>
              </w:rPr>
            </w:pPr>
            <w:proofErr w:type="spellStart"/>
            <w:r w:rsidRPr="009973B7">
              <w:rPr>
                <w:rFonts w:ascii="Times New Roman" w:hAnsi="Times New Roman" w:cs="Times New Roman"/>
                <w:sz w:val="24"/>
                <w:szCs w:val="24"/>
                <w:lang w:val="ru-RU"/>
              </w:rPr>
              <w:t>додаток</w:t>
            </w:r>
            <w:proofErr w:type="spellEnd"/>
            <w:r w:rsidRPr="009973B7">
              <w:rPr>
                <w:rFonts w:ascii="Times New Roman" w:hAnsi="Times New Roman" w:cs="Times New Roman"/>
                <w:sz w:val="24"/>
                <w:szCs w:val="24"/>
                <w:lang w:val="ru-RU"/>
              </w:rPr>
              <w:t xml:space="preserve"> 1</w:t>
            </w:r>
          </w:p>
        </w:tc>
      </w:tr>
      <w:tr w:rsidR="0050219C" w:rsidRPr="009973B7" w:rsidTr="00E23599">
        <w:tc>
          <w:tcPr>
            <w:tcW w:w="2505" w:type="pct"/>
          </w:tcPr>
          <w:p w:rsidR="0050219C" w:rsidRPr="009973B7" w:rsidRDefault="0050219C" w:rsidP="00E23599">
            <w:pPr>
              <w:pStyle w:val="ab"/>
              <w:ind w:left="360" w:firstLine="0"/>
              <w:rPr>
                <w:rFonts w:ascii="Times New Roman" w:hAnsi="Times New Roman" w:cs="Times New Roman"/>
                <w:sz w:val="24"/>
                <w:szCs w:val="24"/>
                <w:lang w:val="ru-RU"/>
              </w:rPr>
            </w:pPr>
            <w:r w:rsidRPr="009973B7">
              <w:rPr>
                <w:rFonts w:ascii="Times New Roman" w:hAnsi="Times New Roman" w:cs="Times New Roman"/>
                <w:sz w:val="24"/>
                <w:szCs w:val="24"/>
              </w:rPr>
              <w:t xml:space="preserve">Додаток </w:t>
            </w:r>
            <w:r w:rsidRPr="009973B7">
              <w:rPr>
                <w:rFonts w:ascii="Times New Roman" w:hAnsi="Times New Roman" w:cs="Times New Roman"/>
                <w:sz w:val="24"/>
                <w:szCs w:val="24"/>
                <w:lang w:val="en-US"/>
              </w:rPr>
              <w:t>I</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додаток 2</w:t>
            </w:r>
          </w:p>
        </w:tc>
      </w:tr>
      <w:tr w:rsidR="0050219C" w:rsidRPr="009973B7" w:rsidTr="00E23599">
        <w:tc>
          <w:tcPr>
            <w:tcW w:w="2505" w:type="pct"/>
          </w:tcPr>
          <w:p w:rsidR="0050219C" w:rsidRPr="009973B7" w:rsidRDefault="0050219C" w:rsidP="00E23599">
            <w:pPr>
              <w:pStyle w:val="ab"/>
              <w:ind w:left="360" w:firstLine="0"/>
              <w:rPr>
                <w:rFonts w:ascii="Times New Roman" w:hAnsi="Times New Roman" w:cs="Times New Roman"/>
                <w:sz w:val="24"/>
                <w:szCs w:val="24"/>
              </w:rPr>
            </w:pPr>
            <w:r w:rsidRPr="009973B7">
              <w:rPr>
                <w:rFonts w:ascii="Times New Roman" w:hAnsi="Times New Roman" w:cs="Times New Roman"/>
                <w:sz w:val="24"/>
                <w:szCs w:val="24"/>
              </w:rPr>
              <w:lastRenderedPageBreak/>
              <w:t xml:space="preserve">Додаток </w:t>
            </w:r>
            <w:r w:rsidRPr="009973B7">
              <w:rPr>
                <w:rFonts w:ascii="Times New Roman" w:hAnsi="Times New Roman" w:cs="Times New Roman"/>
                <w:sz w:val="24"/>
                <w:szCs w:val="24"/>
                <w:lang w:val="en-US"/>
              </w:rPr>
              <w:t>I</w:t>
            </w:r>
            <w:r w:rsidRPr="009973B7">
              <w:rPr>
                <w:rFonts w:ascii="Times New Roman" w:hAnsi="Times New Roman" w:cs="Times New Roman"/>
                <w:sz w:val="24"/>
                <w:szCs w:val="24"/>
              </w:rPr>
              <w:t>І</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додаток 3</w:t>
            </w:r>
          </w:p>
        </w:tc>
      </w:tr>
      <w:tr w:rsidR="0050219C" w:rsidRPr="009973B7" w:rsidTr="00E23599">
        <w:tc>
          <w:tcPr>
            <w:tcW w:w="2505" w:type="pct"/>
          </w:tcPr>
          <w:p w:rsidR="0050219C" w:rsidRPr="009973B7" w:rsidRDefault="0050219C" w:rsidP="00E23599">
            <w:pPr>
              <w:pStyle w:val="ab"/>
              <w:ind w:left="360" w:firstLine="0"/>
              <w:jc w:val="center"/>
              <w:rPr>
                <w:rFonts w:ascii="Times New Roman" w:hAnsi="Times New Roman" w:cs="Times New Roman"/>
                <w:sz w:val="24"/>
                <w:szCs w:val="24"/>
              </w:rPr>
            </w:pPr>
            <w:r w:rsidRPr="009973B7">
              <w:rPr>
                <w:rFonts w:ascii="Times New Roman" w:hAnsi="Times New Roman" w:cs="Times New Roman"/>
                <w:sz w:val="24"/>
                <w:szCs w:val="24"/>
              </w:rPr>
              <w:t>–</w:t>
            </w:r>
          </w:p>
        </w:tc>
        <w:tc>
          <w:tcPr>
            <w:tcW w:w="2495" w:type="pct"/>
          </w:tcPr>
          <w:p w:rsidR="0050219C" w:rsidRPr="009973B7" w:rsidRDefault="0050219C" w:rsidP="00E23599">
            <w:pPr>
              <w:pStyle w:val="ab"/>
              <w:ind w:left="283" w:firstLine="0"/>
              <w:rPr>
                <w:rFonts w:ascii="Times New Roman" w:hAnsi="Times New Roman" w:cs="Times New Roman"/>
                <w:sz w:val="24"/>
                <w:szCs w:val="24"/>
              </w:rPr>
            </w:pPr>
            <w:r w:rsidRPr="009973B7">
              <w:rPr>
                <w:rFonts w:ascii="Times New Roman" w:hAnsi="Times New Roman" w:cs="Times New Roman"/>
                <w:sz w:val="24"/>
                <w:szCs w:val="24"/>
              </w:rPr>
              <w:t>додаток 4</w:t>
            </w:r>
          </w:p>
        </w:tc>
      </w:tr>
    </w:tbl>
    <w:p w:rsidR="0050219C" w:rsidRPr="009973B7" w:rsidRDefault="0050219C" w:rsidP="0050219C">
      <w:pPr>
        <w:jc w:val="center"/>
        <w:rPr>
          <w:b/>
        </w:rPr>
      </w:pPr>
      <w:r w:rsidRPr="009973B7">
        <w:rPr>
          <w:b/>
        </w:rPr>
        <w:t>_________________________________</w:t>
      </w:r>
    </w:p>
    <w:p w:rsidR="0050219C" w:rsidRPr="009973B7" w:rsidRDefault="0050219C" w:rsidP="0050219C">
      <w:pPr>
        <w:rPr>
          <w:b/>
        </w:rPr>
      </w:pPr>
    </w:p>
    <w:p w:rsidR="0050219C" w:rsidRPr="009973B7" w:rsidRDefault="0050219C" w:rsidP="00632C0B">
      <w:pPr>
        <w:spacing w:line="360" w:lineRule="auto"/>
        <w:jc w:val="both"/>
        <w:rPr>
          <w:color w:val="000000"/>
          <w:lang w:val="en-US" w:eastAsia="ru-RU"/>
        </w:rPr>
      </w:pPr>
    </w:p>
    <w:p w:rsidR="0050219C" w:rsidRPr="009973B7" w:rsidRDefault="0050219C" w:rsidP="0050219C">
      <w:pPr>
        <w:autoSpaceDE w:val="0"/>
        <w:autoSpaceDN w:val="0"/>
        <w:adjustRightInd w:val="0"/>
        <w:ind w:left="5041"/>
        <w:jc w:val="center"/>
      </w:pPr>
      <w:r w:rsidRPr="009973B7">
        <w:t>Додаток 2</w:t>
      </w:r>
    </w:p>
    <w:p w:rsidR="0050219C" w:rsidRPr="009973B7" w:rsidRDefault="0050219C" w:rsidP="0050219C">
      <w:pPr>
        <w:autoSpaceDE w:val="0"/>
        <w:autoSpaceDN w:val="0"/>
        <w:adjustRightInd w:val="0"/>
        <w:ind w:left="5041"/>
        <w:jc w:val="center"/>
      </w:pPr>
      <w:r w:rsidRPr="009973B7">
        <w:t>до Технічного регламенту</w:t>
      </w:r>
    </w:p>
    <w:p w:rsidR="0050219C" w:rsidRPr="009973B7" w:rsidRDefault="0050219C" w:rsidP="0050219C">
      <w:pPr>
        <w:ind w:left="4860"/>
        <w:jc w:val="center"/>
      </w:pPr>
      <w:r w:rsidRPr="009973B7">
        <w:t>щодо деяких товарів, які фасують</w:t>
      </w:r>
    </w:p>
    <w:p w:rsidR="0050219C" w:rsidRPr="009973B7" w:rsidRDefault="0050219C" w:rsidP="0050219C">
      <w:pPr>
        <w:ind w:left="5041"/>
        <w:jc w:val="center"/>
      </w:pPr>
      <w:r w:rsidRPr="009973B7">
        <w:t>за масою та об’ємом у готову упаковку</w:t>
      </w:r>
    </w:p>
    <w:p w:rsidR="0050219C" w:rsidRPr="009973B7" w:rsidRDefault="0050219C" w:rsidP="0050219C">
      <w:pPr>
        <w:spacing w:line="360" w:lineRule="auto"/>
        <w:jc w:val="right"/>
        <w:rPr>
          <w:b/>
        </w:rPr>
      </w:pPr>
    </w:p>
    <w:p w:rsidR="0050219C" w:rsidRPr="009973B7" w:rsidRDefault="0050219C" w:rsidP="0050219C">
      <w:pPr>
        <w:jc w:val="center"/>
        <w:rPr>
          <w:b/>
        </w:rPr>
      </w:pPr>
      <w:r w:rsidRPr="009973B7">
        <w:rPr>
          <w:b/>
        </w:rPr>
        <w:t>Вимоги до упакованих одиниць</w:t>
      </w:r>
    </w:p>
    <w:p w:rsidR="0050219C" w:rsidRPr="009973B7" w:rsidRDefault="0050219C" w:rsidP="0050219C">
      <w:pPr>
        <w:autoSpaceDE w:val="0"/>
        <w:autoSpaceDN w:val="0"/>
        <w:adjustRightInd w:val="0"/>
        <w:ind w:firstLine="567"/>
        <w:jc w:val="center"/>
        <w:rPr>
          <w:b/>
        </w:rPr>
      </w:pPr>
      <w:r w:rsidRPr="009973B7">
        <w:rPr>
          <w:b/>
        </w:rPr>
        <w:t>Мета</w:t>
      </w:r>
    </w:p>
    <w:p w:rsidR="0050219C" w:rsidRPr="009973B7" w:rsidRDefault="0050219C" w:rsidP="0050219C">
      <w:pPr>
        <w:autoSpaceDE w:val="0"/>
        <w:autoSpaceDN w:val="0"/>
        <w:adjustRightInd w:val="0"/>
        <w:ind w:firstLine="567"/>
        <w:jc w:val="center"/>
        <w:rPr>
          <w:b/>
        </w:rPr>
      </w:pPr>
    </w:p>
    <w:p w:rsidR="0050219C" w:rsidRPr="009973B7" w:rsidRDefault="0050219C" w:rsidP="0050219C">
      <w:pPr>
        <w:autoSpaceDE w:val="0"/>
        <w:autoSpaceDN w:val="0"/>
        <w:adjustRightInd w:val="0"/>
        <w:spacing w:line="360" w:lineRule="auto"/>
        <w:ind w:firstLine="601"/>
        <w:jc w:val="both"/>
      </w:pPr>
      <w:r w:rsidRPr="009973B7">
        <w:t>1. Упаковані одиниці, на які поширюється дія цього Технічного регламенту, повинні бути виготовлені в такий спосіб, щоб готові упаковані одиниці відповідали таким вимогам:</w:t>
      </w:r>
    </w:p>
    <w:p w:rsidR="0050219C" w:rsidRPr="009973B7" w:rsidRDefault="0050219C" w:rsidP="0050219C">
      <w:pPr>
        <w:autoSpaceDE w:val="0"/>
        <w:autoSpaceDN w:val="0"/>
        <w:adjustRightInd w:val="0"/>
        <w:spacing w:line="360" w:lineRule="auto"/>
        <w:ind w:firstLine="601"/>
        <w:jc w:val="both"/>
      </w:pPr>
      <w:r w:rsidRPr="009973B7">
        <w:t>1) фактичний вміст у середньому не повинен бути меншим за номінальну кількість;</w:t>
      </w:r>
    </w:p>
    <w:p w:rsidR="0050219C" w:rsidRPr="009973B7" w:rsidRDefault="0050219C" w:rsidP="0050219C">
      <w:pPr>
        <w:autoSpaceDE w:val="0"/>
        <w:autoSpaceDN w:val="0"/>
        <w:adjustRightInd w:val="0"/>
        <w:spacing w:line="360" w:lineRule="auto"/>
        <w:ind w:firstLine="601"/>
        <w:jc w:val="both"/>
      </w:pPr>
      <w:r w:rsidRPr="009973B7">
        <w:t>2) частка упакованих одиниць з від’ємним відхилом, що перевищує допустимий від’ємний відхил, визначений у пункті 5 цього додатка, повинна бути достатньо малою для того, щоб партії упакованих одиниць відповідали вимогам випробувань, визначених у додатку 3;</w:t>
      </w:r>
    </w:p>
    <w:p w:rsidR="0050219C" w:rsidRPr="009973B7" w:rsidRDefault="0050219C" w:rsidP="0050219C">
      <w:pPr>
        <w:spacing w:line="360" w:lineRule="auto"/>
        <w:ind w:firstLine="601"/>
        <w:jc w:val="both"/>
      </w:pPr>
      <w:r w:rsidRPr="009973B7">
        <w:t>3) на жодну упаковану одиницю з від’ємним відхилом, що перевищує подвійне значення допустимого від’ємного відхилу, зазначеного в таблиці 1 пункту 5 цього додатка, не може бути нанесений знак "е", передбачений підпунктом 3 пункту 6 цього додатка.</w:t>
      </w:r>
    </w:p>
    <w:p w:rsidR="0050219C" w:rsidRPr="009973B7" w:rsidRDefault="0050219C" w:rsidP="0050219C">
      <w:pPr>
        <w:jc w:val="center"/>
        <w:rPr>
          <w:b/>
        </w:rPr>
      </w:pPr>
    </w:p>
    <w:p w:rsidR="0050219C" w:rsidRPr="009973B7" w:rsidRDefault="0050219C" w:rsidP="0050219C">
      <w:pPr>
        <w:spacing w:line="360" w:lineRule="auto"/>
        <w:jc w:val="center"/>
        <w:rPr>
          <w:b/>
        </w:rPr>
      </w:pPr>
      <w:r w:rsidRPr="009973B7">
        <w:rPr>
          <w:b/>
        </w:rPr>
        <w:t>Визначення та основні положення</w:t>
      </w:r>
    </w:p>
    <w:p w:rsidR="0050219C" w:rsidRPr="009973B7" w:rsidRDefault="0050219C" w:rsidP="0050219C">
      <w:pPr>
        <w:jc w:val="center"/>
        <w:rPr>
          <w:b/>
        </w:rPr>
      </w:pPr>
    </w:p>
    <w:p w:rsidR="0050219C" w:rsidRPr="009973B7" w:rsidRDefault="0050219C" w:rsidP="0050219C">
      <w:pPr>
        <w:spacing w:line="360" w:lineRule="auto"/>
        <w:ind w:firstLine="540"/>
        <w:jc w:val="both"/>
      </w:pPr>
      <w:r w:rsidRPr="009973B7">
        <w:t>2. Номінальна кількість (номінальна маса або номінальний об’єм) вмісту упакованої одиниці є масою або об’ємом, зазначеним на упакованій одиниці, тобто кількістю товару, яка вважається такою, що міститься в упакованій одиниці.</w:t>
      </w:r>
    </w:p>
    <w:p w:rsidR="0050219C" w:rsidRPr="009973B7" w:rsidRDefault="0050219C" w:rsidP="0050219C">
      <w:pPr>
        <w:spacing w:line="360" w:lineRule="auto"/>
        <w:ind w:firstLine="540"/>
        <w:jc w:val="both"/>
      </w:pPr>
      <w:r w:rsidRPr="009973B7">
        <w:t xml:space="preserve">3. Фактичний вміст упакованої одиниці є кількістю (масою або об’ємом) товару, що в ній фактично міститься. За будь-якої процедури з метою контролю кількості товару, вираженої в одиницях об’єму, значення, що </w:t>
      </w:r>
      <w:r w:rsidRPr="009973B7">
        <w:br/>
      </w:r>
    </w:p>
    <w:p w:rsidR="0050219C" w:rsidRPr="009973B7" w:rsidRDefault="0050219C" w:rsidP="0050219C">
      <w:pPr>
        <w:spacing w:line="360" w:lineRule="auto"/>
        <w:ind w:firstLine="540"/>
        <w:jc w:val="right"/>
      </w:pPr>
      <w:r w:rsidRPr="009973B7">
        <w:t>Продовження додатка 2</w:t>
      </w:r>
    </w:p>
    <w:p w:rsidR="0050219C" w:rsidRPr="009973B7" w:rsidRDefault="0050219C" w:rsidP="0050219C">
      <w:pPr>
        <w:ind w:firstLine="539"/>
        <w:jc w:val="right"/>
      </w:pPr>
    </w:p>
    <w:p w:rsidR="0050219C" w:rsidRPr="009973B7" w:rsidRDefault="0050219C" w:rsidP="0050219C">
      <w:pPr>
        <w:spacing w:line="360" w:lineRule="auto"/>
        <w:jc w:val="both"/>
      </w:pPr>
      <w:r w:rsidRPr="009973B7">
        <w:t xml:space="preserve">застосовують для фактичного вмісту, визначаються за температури 20 </w:t>
      </w:r>
      <w:r w:rsidRPr="009973B7">
        <w:sym w:font="Symbol" w:char="F0B0"/>
      </w:r>
      <w:r w:rsidRPr="009973B7">
        <w:t xml:space="preserve">С або приводяться до неї, незалежно від того, за якої температури здійснювалося пакування або контроль. Проте </w:t>
      </w:r>
      <w:r w:rsidRPr="009973B7">
        <w:lastRenderedPageBreak/>
        <w:t>це правило не застосовують до товарів глибокої заморозки або заморожених товарів, кількість яких виражена в одиницях об’єму.</w:t>
      </w:r>
    </w:p>
    <w:p w:rsidR="0050219C" w:rsidRPr="009973B7" w:rsidRDefault="0050219C" w:rsidP="0050219C">
      <w:pPr>
        <w:spacing w:line="360" w:lineRule="auto"/>
        <w:ind w:firstLine="540"/>
        <w:jc w:val="both"/>
      </w:pPr>
      <w:r w:rsidRPr="009973B7">
        <w:t>4. Від’ємний відхил упакованої одиниці є кількістю, на яку фактичний вміст упакованої одиниці є меншим за номінальну кількість.</w:t>
      </w:r>
    </w:p>
    <w:p w:rsidR="0050219C" w:rsidRPr="009973B7" w:rsidRDefault="0050219C" w:rsidP="0050219C">
      <w:pPr>
        <w:spacing w:line="360" w:lineRule="auto"/>
        <w:ind w:firstLine="540"/>
        <w:jc w:val="both"/>
      </w:pPr>
      <w:r w:rsidRPr="009973B7">
        <w:t>5. Допустимий від’ємний відхил вмісту упакованої одиниці встановлюється відповідно до таблиці 1.</w:t>
      </w:r>
    </w:p>
    <w:p w:rsidR="0050219C" w:rsidRPr="009973B7" w:rsidRDefault="0050219C" w:rsidP="0050219C">
      <w:pPr>
        <w:spacing w:line="360" w:lineRule="auto"/>
        <w:ind w:firstLine="540"/>
        <w:jc w:val="right"/>
      </w:pPr>
      <w:r w:rsidRPr="009973B7">
        <w:t>Таблиця 1</w:t>
      </w: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3"/>
        <w:gridCol w:w="2431"/>
        <w:gridCol w:w="1864"/>
      </w:tblGrid>
      <w:tr w:rsidR="0050219C" w:rsidRPr="009973B7" w:rsidTr="00E23599">
        <w:trPr>
          <w:trHeight w:val="70"/>
          <w:jc w:val="center"/>
        </w:trPr>
        <w:tc>
          <w:tcPr>
            <w:tcW w:w="5273" w:type="dxa"/>
            <w:vMerge w:val="restart"/>
            <w:shd w:val="clear" w:color="auto" w:fill="auto"/>
            <w:vAlign w:val="center"/>
          </w:tcPr>
          <w:p w:rsidR="0050219C" w:rsidRPr="009973B7" w:rsidRDefault="0050219C" w:rsidP="00E23599">
            <w:pPr>
              <w:ind w:firstLine="27"/>
              <w:jc w:val="both"/>
              <w:rPr>
                <w:bCs/>
                <w:color w:val="000000"/>
              </w:rPr>
            </w:pPr>
            <w:r w:rsidRPr="009973B7">
              <w:rPr>
                <w:bCs/>
                <w:color w:val="000000"/>
              </w:rPr>
              <w:t>Номінальна кількість товару (</w:t>
            </w:r>
            <w:proofErr w:type="spellStart"/>
            <w:r w:rsidRPr="009973B7">
              <w:rPr>
                <w:bCs/>
                <w:color w:val="000000"/>
              </w:rPr>
              <w:t>Q</w:t>
            </w:r>
            <w:r w:rsidRPr="009973B7">
              <w:rPr>
                <w:bCs/>
                <w:color w:val="000000"/>
                <w:vertAlign w:val="subscript"/>
              </w:rPr>
              <w:t>n</w:t>
            </w:r>
            <w:proofErr w:type="spellEnd"/>
            <w:r w:rsidRPr="009973B7">
              <w:rPr>
                <w:bCs/>
                <w:color w:val="000000"/>
              </w:rPr>
              <w:t xml:space="preserve">), г (або </w:t>
            </w:r>
            <w:proofErr w:type="spellStart"/>
            <w:r w:rsidRPr="009973B7">
              <w:rPr>
                <w:bCs/>
                <w:color w:val="000000"/>
              </w:rPr>
              <w:t>мл</w:t>
            </w:r>
            <w:proofErr w:type="spellEnd"/>
            <w:r w:rsidRPr="009973B7">
              <w:rPr>
                <w:bCs/>
                <w:color w:val="000000"/>
              </w:rPr>
              <w:t>)</w:t>
            </w:r>
          </w:p>
        </w:tc>
        <w:tc>
          <w:tcPr>
            <w:tcW w:w="4295" w:type="dxa"/>
            <w:gridSpan w:val="2"/>
            <w:shd w:val="clear" w:color="auto" w:fill="auto"/>
            <w:vAlign w:val="center"/>
          </w:tcPr>
          <w:p w:rsidR="0050219C" w:rsidRPr="009973B7" w:rsidRDefault="0050219C" w:rsidP="00E23599">
            <w:pPr>
              <w:ind w:firstLine="540"/>
              <w:jc w:val="both"/>
              <w:rPr>
                <w:bCs/>
                <w:color w:val="000000"/>
                <w:vertAlign w:val="superscript"/>
              </w:rPr>
            </w:pPr>
            <w:r w:rsidRPr="009973B7">
              <w:rPr>
                <w:bCs/>
                <w:color w:val="000000"/>
              </w:rPr>
              <w:t>Допустимий від’ємний відхил</w:t>
            </w:r>
          </w:p>
        </w:tc>
      </w:tr>
      <w:tr w:rsidR="0050219C" w:rsidRPr="009973B7" w:rsidTr="00E23599">
        <w:trPr>
          <w:trHeight w:val="70"/>
          <w:jc w:val="center"/>
        </w:trPr>
        <w:tc>
          <w:tcPr>
            <w:tcW w:w="5273" w:type="dxa"/>
            <w:vMerge/>
            <w:shd w:val="clear" w:color="auto" w:fill="auto"/>
            <w:vAlign w:val="center"/>
          </w:tcPr>
          <w:p w:rsidR="0050219C" w:rsidRPr="009973B7" w:rsidRDefault="0050219C" w:rsidP="00E23599">
            <w:pPr>
              <w:ind w:firstLine="540"/>
              <w:jc w:val="both"/>
              <w:rPr>
                <w:bCs/>
                <w:color w:val="000000"/>
              </w:rPr>
            </w:pPr>
          </w:p>
        </w:tc>
        <w:tc>
          <w:tcPr>
            <w:tcW w:w="2431" w:type="dxa"/>
            <w:shd w:val="clear" w:color="auto" w:fill="auto"/>
            <w:vAlign w:val="center"/>
          </w:tcPr>
          <w:p w:rsidR="0050219C" w:rsidRPr="009973B7" w:rsidRDefault="0050219C" w:rsidP="00E23599">
            <w:pPr>
              <w:ind w:firstLine="101"/>
              <w:jc w:val="both"/>
              <w:rPr>
                <w:bCs/>
                <w:color w:val="000000"/>
              </w:rPr>
            </w:pPr>
            <w:r w:rsidRPr="009973B7">
              <w:rPr>
                <w:bCs/>
                <w:color w:val="000000"/>
              </w:rPr>
              <w:t xml:space="preserve">у відсотках від </w:t>
            </w:r>
            <w:proofErr w:type="spellStart"/>
            <w:r w:rsidRPr="009973B7">
              <w:rPr>
                <w:bCs/>
                <w:color w:val="000000"/>
              </w:rPr>
              <w:t>Q</w:t>
            </w:r>
            <w:r w:rsidRPr="009973B7">
              <w:rPr>
                <w:bCs/>
                <w:color w:val="000000"/>
                <w:vertAlign w:val="subscript"/>
              </w:rPr>
              <w:t>n</w:t>
            </w:r>
            <w:proofErr w:type="spellEnd"/>
          </w:p>
        </w:tc>
        <w:tc>
          <w:tcPr>
            <w:tcW w:w="1864" w:type="dxa"/>
            <w:shd w:val="clear" w:color="auto" w:fill="auto"/>
            <w:vAlign w:val="center"/>
          </w:tcPr>
          <w:p w:rsidR="0050219C" w:rsidRPr="009973B7" w:rsidRDefault="0050219C" w:rsidP="00E23599">
            <w:pPr>
              <w:ind w:firstLine="540"/>
              <w:jc w:val="both"/>
              <w:rPr>
                <w:bCs/>
                <w:color w:val="000000"/>
              </w:rPr>
            </w:pPr>
            <w:r w:rsidRPr="009973B7">
              <w:rPr>
                <w:bCs/>
                <w:color w:val="000000"/>
              </w:rPr>
              <w:t xml:space="preserve">г (або </w:t>
            </w:r>
            <w:proofErr w:type="spellStart"/>
            <w:r w:rsidRPr="009973B7">
              <w:rPr>
                <w:bCs/>
                <w:color w:val="000000"/>
              </w:rPr>
              <w:t>мл</w:t>
            </w:r>
            <w:proofErr w:type="spellEnd"/>
            <w:r w:rsidRPr="009973B7">
              <w:rPr>
                <w:bCs/>
                <w:color w:val="000000"/>
              </w:rPr>
              <w:t>)</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Від 5 до 50</w:t>
            </w:r>
          </w:p>
        </w:tc>
        <w:tc>
          <w:tcPr>
            <w:tcW w:w="2431" w:type="dxa"/>
            <w:shd w:val="clear" w:color="auto" w:fill="auto"/>
          </w:tcPr>
          <w:p w:rsidR="0050219C" w:rsidRPr="009973B7" w:rsidRDefault="0050219C" w:rsidP="00E23599">
            <w:pPr>
              <w:jc w:val="center"/>
              <w:rPr>
                <w:bCs/>
                <w:color w:val="000000"/>
              </w:rPr>
            </w:pPr>
            <w:r w:rsidRPr="009973B7">
              <w:rPr>
                <w:bCs/>
                <w:color w:val="000000"/>
              </w:rPr>
              <w:t>9</w:t>
            </w:r>
          </w:p>
        </w:tc>
        <w:tc>
          <w:tcPr>
            <w:tcW w:w="1864" w:type="dxa"/>
            <w:shd w:val="clear" w:color="auto" w:fill="auto"/>
          </w:tcPr>
          <w:p w:rsidR="0050219C" w:rsidRPr="009973B7" w:rsidRDefault="0050219C" w:rsidP="00E23599">
            <w:pPr>
              <w:jc w:val="center"/>
              <w:rPr>
                <w:bCs/>
                <w:color w:val="000000"/>
              </w:rPr>
            </w:pPr>
            <w:r w:rsidRPr="009973B7">
              <w:rPr>
                <w:bCs/>
                <w:color w:val="000000"/>
              </w:rPr>
              <w:t>–</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Понад 50 до 100</w:t>
            </w:r>
          </w:p>
        </w:tc>
        <w:tc>
          <w:tcPr>
            <w:tcW w:w="2431" w:type="dxa"/>
            <w:shd w:val="clear" w:color="auto" w:fill="auto"/>
          </w:tcPr>
          <w:p w:rsidR="0050219C" w:rsidRPr="009973B7" w:rsidRDefault="0050219C" w:rsidP="00E23599">
            <w:pPr>
              <w:jc w:val="center"/>
              <w:rPr>
                <w:bCs/>
                <w:color w:val="000000"/>
              </w:rPr>
            </w:pPr>
            <w:r w:rsidRPr="009973B7">
              <w:rPr>
                <w:bCs/>
                <w:color w:val="000000"/>
              </w:rPr>
              <w:t>–</w:t>
            </w:r>
          </w:p>
        </w:tc>
        <w:tc>
          <w:tcPr>
            <w:tcW w:w="1864" w:type="dxa"/>
            <w:shd w:val="clear" w:color="auto" w:fill="auto"/>
          </w:tcPr>
          <w:p w:rsidR="0050219C" w:rsidRPr="009973B7" w:rsidRDefault="0050219C" w:rsidP="00E23599">
            <w:pPr>
              <w:jc w:val="center"/>
              <w:rPr>
                <w:bCs/>
                <w:color w:val="000000"/>
              </w:rPr>
            </w:pPr>
            <w:r w:rsidRPr="009973B7">
              <w:rPr>
                <w:bCs/>
                <w:color w:val="000000"/>
              </w:rPr>
              <w:t>4,5</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Понад 100 до 200</w:t>
            </w:r>
          </w:p>
        </w:tc>
        <w:tc>
          <w:tcPr>
            <w:tcW w:w="2431" w:type="dxa"/>
            <w:shd w:val="clear" w:color="auto" w:fill="auto"/>
          </w:tcPr>
          <w:p w:rsidR="0050219C" w:rsidRPr="009973B7" w:rsidRDefault="0050219C" w:rsidP="00E23599">
            <w:pPr>
              <w:jc w:val="center"/>
              <w:rPr>
                <w:bCs/>
                <w:color w:val="000000"/>
              </w:rPr>
            </w:pPr>
            <w:r w:rsidRPr="009973B7">
              <w:rPr>
                <w:bCs/>
                <w:color w:val="000000"/>
              </w:rPr>
              <w:t>4,5</w:t>
            </w:r>
          </w:p>
        </w:tc>
        <w:tc>
          <w:tcPr>
            <w:tcW w:w="1864" w:type="dxa"/>
            <w:shd w:val="clear" w:color="auto" w:fill="auto"/>
          </w:tcPr>
          <w:p w:rsidR="0050219C" w:rsidRPr="009973B7" w:rsidRDefault="0050219C" w:rsidP="00E23599">
            <w:pPr>
              <w:jc w:val="center"/>
              <w:rPr>
                <w:bCs/>
                <w:color w:val="000000"/>
              </w:rPr>
            </w:pPr>
            <w:r w:rsidRPr="009973B7">
              <w:rPr>
                <w:bCs/>
                <w:color w:val="000000"/>
              </w:rPr>
              <w:t>–</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Понад 200 до 300</w:t>
            </w:r>
          </w:p>
        </w:tc>
        <w:tc>
          <w:tcPr>
            <w:tcW w:w="2431" w:type="dxa"/>
            <w:shd w:val="clear" w:color="auto" w:fill="auto"/>
          </w:tcPr>
          <w:p w:rsidR="0050219C" w:rsidRPr="009973B7" w:rsidRDefault="0050219C" w:rsidP="00E23599">
            <w:pPr>
              <w:jc w:val="center"/>
              <w:rPr>
                <w:bCs/>
                <w:color w:val="000000"/>
              </w:rPr>
            </w:pPr>
            <w:r w:rsidRPr="009973B7">
              <w:rPr>
                <w:bCs/>
                <w:color w:val="000000"/>
              </w:rPr>
              <w:t>–</w:t>
            </w:r>
          </w:p>
        </w:tc>
        <w:tc>
          <w:tcPr>
            <w:tcW w:w="1864" w:type="dxa"/>
            <w:shd w:val="clear" w:color="auto" w:fill="auto"/>
          </w:tcPr>
          <w:p w:rsidR="0050219C" w:rsidRPr="009973B7" w:rsidRDefault="0050219C" w:rsidP="00E23599">
            <w:pPr>
              <w:jc w:val="center"/>
              <w:rPr>
                <w:bCs/>
                <w:color w:val="000000"/>
              </w:rPr>
            </w:pPr>
            <w:r w:rsidRPr="009973B7">
              <w:rPr>
                <w:bCs/>
                <w:color w:val="000000"/>
              </w:rPr>
              <w:t>9</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Понад 300 до 500</w:t>
            </w:r>
          </w:p>
        </w:tc>
        <w:tc>
          <w:tcPr>
            <w:tcW w:w="2431" w:type="dxa"/>
            <w:shd w:val="clear" w:color="auto" w:fill="auto"/>
          </w:tcPr>
          <w:p w:rsidR="0050219C" w:rsidRPr="009973B7" w:rsidRDefault="0050219C" w:rsidP="00E23599">
            <w:pPr>
              <w:jc w:val="center"/>
              <w:rPr>
                <w:bCs/>
                <w:color w:val="000000"/>
              </w:rPr>
            </w:pPr>
            <w:r w:rsidRPr="009973B7">
              <w:rPr>
                <w:bCs/>
                <w:color w:val="000000"/>
              </w:rPr>
              <w:t>3</w:t>
            </w:r>
          </w:p>
        </w:tc>
        <w:tc>
          <w:tcPr>
            <w:tcW w:w="1864" w:type="dxa"/>
            <w:shd w:val="clear" w:color="auto" w:fill="auto"/>
          </w:tcPr>
          <w:p w:rsidR="0050219C" w:rsidRPr="009973B7" w:rsidRDefault="0050219C" w:rsidP="00E23599">
            <w:pPr>
              <w:jc w:val="center"/>
              <w:rPr>
                <w:bCs/>
                <w:color w:val="000000"/>
              </w:rPr>
            </w:pPr>
            <w:r w:rsidRPr="009973B7">
              <w:rPr>
                <w:bCs/>
                <w:color w:val="000000"/>
              </w:rPr>
              <w:t>–</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Понад 500 до 1000</w:t>
            </w:r>
          </w:p>
        </w:tc>
        <w:tc>
          <w:tcPr>
            <w:tcW w:w="2431" w:type="dxa"/>
            <w:shd w:val="clear" w:color="auto" w:fill="auto"/>
          </w:tcPr>
          <w:p w:rsidR="0050219C" w:rsidRPr="009973B7" w:rsidRDefault="0050219C" w:rsidP="00E23599">
            <w:pPr>
              <w:jc w:val="center"/>
              <w:rPr>
                <w:bCs/>
                <w:color w:val="000000"/>
              </w:rPr>
            </w:pPr>
            <w:r w:rsidRPr="009973B7">
              <w:rPr>
                <w:bCs/>
                <w:color w:val="000000"/>
              </w:rPr>
              <w:t>–</w:t>
            </w:r>
          </w:p>
        </w:tc>
        <w:tc>
          <w:tcPr>
            <w:tcW w:w="1864" w:type="dxa"/>
            <w:shd w:val="clear" w:color="auto" w:fill="auto"/>
          </w:tcPr>
          <w:p w:rsidR="0050219C" w:rsidRPr="009973B7" w:rsidRDefault="0050219C" w:rsidP="00E23599">
            <w:pPr>
              <w:jc w:val="center"/>
              <w:rPr>
                <w:bCs/>
                <w:color w:val="000000"/>
              </w:rPr>
            </w:pPr>
            <w:r w:rsidRPr="009973B7">
              <w:rPr>
                <w:bCs/>
                <w:color w:val="000000"/>
              </w:rPr>
              <w:t>15</w:t>
            </w:r>
          </w:p>
        </w:tc>
      </w:tr>
      <w:tr w:rsidR="0050219C" w:rsidRPr="009973B7" w:rsidTr="00E23599">
        <w:trPr>
          <w:trHeight w:val="70"/>
          <w:jc w:val="center"/>
        </w:trPr>
        <w:tc>
          <w:tcPr>
            <w:tcW w:w="5273" w:type="dxa"/>
            <w:shd w:val="clear" w:color="auto" w:fill="auto"/>
            <w:vAlign w:val="center"/>
          </w:tcPr>
          <w:p w:rsidR="0050219C" w:rsidRPr="009973B7" w:rsidRDefault="0050219C" w:rsidP="00E23599">
            <w:pPr>
              <w:ind w:firstLine="540"/>
              <w:jc w:val="both"/>
              <w:rPr>
                <w:bCs/>
                <w:color w:val="000000"/>
              </w:rPr>
            </w:pPr>
            <w:r w:rsidRPr="009973B7">
              <w:rPr>
                <w:bCs/>
                <w:color w:val="000000"/>
              </w:rPr>
              <w:t>Понад 1000 до 10000</w:t>
            </w:r>
          </w:p>
        </w:tc>
        <w:tc>
          <w:tcPr>
            <w:tcW w:w="2431" w:type="dxa"/>
            <w:shd w:val="clear" w:color="auto" w:fill="auto"/>
          </w:tcPr>
          <w:p w:rsidR="0050219C" w:rsidRPr="009973B7" w:rsidRDefault="0050219C" w:rsidP="00E23599">
            <w:pPr>
              <w:jc w:val="center"/>
              <w:rPr>
                <w:bCs/>
                <w:color w:val="000000"/>
              </w:rPr>
            </w:pPr>
            <w:r w:rsidRPr="009973B7">
              <w:rPr>
                <w:bCs/>
                <w:color w:val="000000"/>
              </w:rPr>
              <w:t>1,5</w:t>
            </w:r>
          </w:p>
        </w:tc>
        <w:tc>
          <w:tcPr>
            <w:tcW w:w="1864" w:type="dxa"/>
            <w:shd w:val="clear" w:color="auto" w:fill="auto"/>
          </w:tcPr>
          <w:p w:rsidR="0050219C" w:rsidRPr="009973B7" w:rsidRDefault="0050219C" w:rsidP="00E23599">
            <w:pPr>
              <w:jc w:val="center"/>
              <w:rPr>
                <w:bCs/>
                <w:color w:val="000000"/>
              </w:rPr>
            </w:pPr>
            <w:r w:rsidRPr="009973B7">
              <w:rPr>
                <w:bCs/>
                <w:color w:val="000000"/>
              </w:rPr>
              <w:t>–</w:t>
            </w:r>
          </w:p>
        </w:tc>
      </w:tr>
      <w:tr w:rsidR="0050219C" w:rsidRPr="009973B7" w:rsidTr="00E23599">
        <w:trPr>
          <w:trHeight w:val="70"/>
          <w:jc w:val="center"/>
        </w:trPr>
        <w:tc>
          <w:tcPr>
            <w:tcW w:w="5273" w:type="dxa"/>
            <w:shd w:val="clear" w:color="auto" w:fill="auto"/>
          </w:tcPr>
          <w:p w:rsidR="0050219C" w:rsidRPr="009973B7" w:rsidRDefault="0050219C" w:rsidP="00E23599">
            <w:pPr>
              <w:ind w:firstLine="539"/>
            </w:pPr>
            <w:r w:rsidRPr="009973B7">
              <w:rPr>
                <w:bCs/>
                <w:color w:val="000000"/>
              </w:rPr>
              <w:t>Понад 10 000 до 15 000</w:t>
            </w:r>
          </w:p>
        </w:tc>
        <w:tc>
          <w:tcPr>
            <w:tcW w:w="2431" w:type="dxa"/>
            <w:shd w:val="clear" w:color="auto" w:fill="auto"/>
          </w:tcPr>
          <w:p w:rsidR="0050219C" w:rsidRPr="009973B7" w:rsidRDefault="0050219C" w:rsidP="00E23599">
            <w:pPr>
              <w:jc w:val="center"/>
              <w:rPr>
                <w:bCs/>
                <w:color w:val="000000"/>
              </w:rPr>
            </w:pPr>
            <w:r w:rsidRPr="009973B7">
              <w:rPr>
                <w:bCs/>
                <w:color w:val="000000"/>
              </w:rPr>
              <w:t>–</w:t>
            </w:r>
          </w:p>
        </w:tc>
        <w:tc>
          <w:tcPr>
            <w:tcW w:w="1864" w:type="dxa"/>
            <w:shd w:val="clear" w:color="auto" w:fill="auto"/>
          </w:tcPr>
          <w:p w:rsidR="0050219C" w:rsidRPr="009973B7" w:rsidRDefault="0050219C" w:rsidP="00E23599">
            <w:pPr>
              <w:jc w:val="center"/>
              <w:rPr>
                <w:bCs/>
                <w:color w:val="000000"/>
              </w:rPr>
            </w:pPr>
            <w:r w:rsidRPr="009973B7">
              <w:rPr>
                <w:bCs/>
                <w:color w:val="000000"/>
              </w:rPr>
              <w:t>150</w:t>
            </w:r>
          </w:p>
        </w:tc>
      </w:tr>
      <w:tr w:rsidR="0050219C" w:rsidRPr="009973B7" w:rsidTr="00E23599">
        <w:trPr>
          <w:trHeight w:val="70"/>
          <w:jc w:val="center"/>
        </w:trPr>
        <w:tc>
          <w:tcPr>
            <w:tcW w:w="5273" w:type="dxa"/>
            <w:shd w:val="clear" w:color="auto" w:fill="auto"/>
          </w:tcPr>
          <w:p w:rsidR="0050219C" w:rsidRPr="009973B7" w:rsidRDefault="0050219C" w:rsidP="00E23599">
            <w:pPr>
              <w:ind w:firstLine="539"/>
            </w:pPr>
            <w:r w:rsidRPr="009973B7">
              <w:rPr>
                <w:bCs/>
                <w:color w:val="000000"/>
              </w:rPr>
              <w:t>Понад 15 000 до 50 000</w:t>
            </w:r>
          </w:p>
        </w:tc>
        <w:tc>
          <w:tcPr>
            <w:tcW w:w="2431" w:type="dxa"/>
            <w:shd w:val="clear" w:color="auto" w:fill="auto"/>
          </w:tcPr>
          <w:p w:rsidR="0050219C" w:rsidRPr="009973B7" w:rsidRDefault="0050219C" w:rsidP="00E23599">
            <w:pPr>
              <w:jc w:val="center"/>
              <w:rPr>
                <w:bCs/>
                <w:color w:val="000000"/>
              </w:rPr>
            </w:pPr>
            <w:r w:rsidRPr="009973B7">
              <w:rPr>
                <w:bCs/>
                <w:color w:val="000000"/>
              </w:rPr>
              <w:t>1</w:t>
            </w:r>
          </w:p>
        </w:tc>
        <w:tc>
          <w:tcPr>
            <w:tcW w:w="1864" w:type="dxa"/>
            <w:shd w:val="clear" w:color="auto" w:fill="auto"/>
          </w:tcPr>
          <w:p w:rsidR="0050219C" w:rsidRPr="009973B7" w:rsidRDefault="0050219C" w:rsidP="00E23599">
            <w:pPr>
              <w:jc w:val="center"/>
              <w:rPr>
                <w:bCs/>
                <w:color w:val="000000"/>
              </w:rPr>
            </w:pPr>
            <w:r w:rsidRPr="009973B7">
              <w:rPr>
                <w:bCs/>
                <w:color w:val="000000"/>
              </w:rPr>
              <w:t>–</w:t>
            </w:r>
          </w:p>
        </w:tc>
      </w:tr>
    </w:tbl>
    <w:p w:rsidR="0050219C" w:rsidRPr="009973B7" w:rsidRDefault="0050219C" w:rsidP="0050219C">
      <w:pPr>
        <w:autoSpaceDE w:val="0"/>
        <w:autoSpaceDN w:val="0"/>
        <w:adjustRightInd w:val="0"/>
        <w:spacing w:line="360" w:lineRule="auto"/>
        <w:ind w:firstLine="567"/>
        <w:jc w:val="both"/>
      </w:pPr>
    </w:p>
    <w:p w:rsidR="0050219C" w:rsidRPr="009973B7" w:rsidRDefault="0050219C" w:rsidP="0050219C">
      <w:pPr>
        <w:autoSpaceDE w:val="0"/>
        <w:autoSpaceDN w:val="0"/>
        <w:adjustRightInd w:val="0"/>
        <w:spacing w:line="360" w:lineRule="auto"/>
        <w:ind w:firstLine="567"/>
        <w:jc w:val="both"/>
      </w:pPr>
      <w:r w:rsidRPr="009973B7">
        <w:t xml:space="preserve">Наведені в таблиці 1 цього додатка значення допустимих від’ємних відхилів у відсотках, що перераховують в одиниці маси або об’єму, округлюють до найближчого кратного одній десятій грама або </w:t>
      </w:r>
      <w:proofErr w:type="spellStart"/>
      <w:r w:rsidRPr="009973B7">
        <w:t>мілілітра</w:t>
      </w:r>
      <w:proofErr w:type="spellEnd"/>
      <w:r w:rsidRPr="009973B7">
        <w:t>.</w:t>
      </w:r>
    </w:p>
    <w:p w:rsidR="0050219C" w:rsidRPr="009973B7" w:rsidRDefault="0050219C" w:rsidP="0050219C">
      <w:pPr>
        <w:jc w:val="center"/>
        <w:rPr>
          <w:b/>
        </w:rPr>
      </w:pPr>
    </w:p>
    <w:p w:rsidR="0050219C" w:rsidRPr="009973B7" w:rsidRDefault="0050219C" w:rsidP="0050219C">
      <w:pPr>
        <w:spacing w:line="360" w:lineRule="auto"/>
        <w:jc w:val="center"/>
        <w:rPr>
          <w:b/>
        </w:rPr>
      </w:pPr>
      <w:r w:rsidRPr="009973B7">
        <w:rPr>
          <w:b/>
        </w:rPr>
        <w:t>Написи та маркування</w:t>
      </w:r>
    </w:p>
    <w:p w:rsidR="0050219C" w:rsidRPr="009973B7" w:rsidRDefault="0050219C" w:rsidP="0050219C">
      <w:pPr>
        <w:jc w:val="center"/>
        <w:rPr>
          <w:b/>
        </w:rPr>
      </w:pPr>
    </w:p>
    <w:p w:rsidR="0050219C" w:rsidRPr="009973B7" w:rsidRDefault="0050219C" w:rsidP="0050219C">
      <w:pPr>
        <w:spacing w:line="360" w:lineRule="auto"/>
        <w:ind w:firstLine="539"/>
        <w:jc w:val="both"/>
      </w:pPr>
      <w:r w:rsidRPr="009973B7">
        <w:t>6. Усі упаковані одиниці, виготовлені відповідно до вимог цього Технічного регламенту, повинні містити на упаковці наведене нижче маркування, нанесене в такий спосіб, щоб воно було незмивним, легко розбірливим та видимим на упакованій одиниці за нормальних умов представлення:</w:t>
      </w:r>
    </w:p>
    <w:p w:rsidR="0050219C" w:rsidRPr="009973B7" w:rsidRDefault="0050219C" w:rsidP="0050219C">
      <w:pPr>
        <w:spacing w:line="360" w:lineRule="auto"/>
        <w:ind w:firstLine="540"/>
        <w:jc w:val="right"/>
      </w:pPr>
      <w:r w:rsidRPr="009973B7">
        <w:t>Продовження додатка 2</w:t>
      </w:r>
    </w:p>
    <w:p w:rsidR="0050219C" w:rsidRPr="009973B7" w:rsidRDefault="0050219C" w:rsidP="0050219C">
      <w:pPr>
        <w:ind w:firstLine="539"/>
        <w:jc w:val="right"/>
      </w:pPr>
    </w:p>
    <w:p w:rsidR="0050219C" w:rsidRPr="009973B7" w:rsidRDefault="0050219C" w:rsidP="0050219C">
      <w:pPr>
        <w:autoSpaceDE w:val="0"/>
        <w:autoSpaceDN w:val="0"/>
        <w:adjustRightInd w:val="0"/>
        <w:spacing w:line="360" w:lineRule="auto"/>
        <w:ind w:firstLine="567"/>
        <w:jc w:val="both"/>
      </w:pPr>
      <w:r w:rsidRPr="009973B7">
        <w:t xml:space="preserve">1) номінальна кількість (номінальна маса або номінальний об’єм), виражена в кілограмах, грамах, літрах, сантилітрах або </w:t>
      </w:r>
      <w:proofErr w:type="spellStart"/>
      <w:r w:rsidRPr="009973B7">
        <w:t>мілілітрах</w:t>
      </w:r>
      <w:proofErr w:type="spellEnd"/>
      <w:r w:rsidRPr="009973B7">
        <w:t xml:space="preserve"> та позначена цифрами мінімальною висотою, зазначеною в таблиці 2 цього додатка, за якими розташовано позначення одиниці вимірювання, що використовується, або, за необхідності, назва одиниці вимірювання відповідно до Закону України "Про метрологію та метрологічну діяльність";</w:t>
      </w:r>
    </w:p>
    <w:p w:rsidR="0050219C" w:rsidRPr="009973B7" w:rsidRDefault="0050219C" w:rsidP="0050219C">
      <w:pPr>
        <w:autoSpaceDE w:val="0"/>
        <w:autoSpaceDN w:val="0"/>
        <w:adjustRightInd w:val="0"/>
        <w:spacing w:line="360" w:lineRule="auto"/>
        <w:ind w:firstLine="567"/>
        <w:jc w:val="right"/>
      </w:pPr>
      <w:r w:rsidRPr="009973B7">
        <w:t>Таблиця 2</w:t>
      </w: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712"/>
      </w:tblGrid>
      <w:tr w:rsidR="0050219C" w:rsidRPr="009973B7" w:rsidTr="00E23599">
        <w:trPr>
          <w:trHeight w:val="646"/>
          <w:jc w:val="center"/>
        </w:trPr>
        <w:tc>
          <w:tcPr>
            <w:tcW w:w="4359" w:type="dxa"/>
            <w:shd w:val="clear" w:color="auto" w:fill="auto"/>
            <w:vAlign w:val="center"/>
          </w:tcPr>
          <w:p w:rsidR="0050219C" w:rsidRPr="009973B7" w:rsidRDefault="0050219C" w:rsidP="00E23599">
            <w:pPr>
              <w:jc w:val="center"/>
              <w:rPr>
                <w:bCs/>
                <w:color w:val="000000"/>
              </w:rPr>
            </w:pPr>
            <w:r w:rsidRPr="009973B7">
              <w:rPr>
                <w:bCs/>
                <w:color w:val="000000"/>
              </w:rPr>
              <w:t>Номінальна кількість товару (</w:t>
            </w:r>
            <w:proofErr w:type="spellStart"/>
            <w:r w:rsidRPr="009973B7">
              <w:rPr>
                <w:bCs/>
                <w:color w:val="000000"/>
              </w:rPr>
              <w:t>Q</w:t>
            </w:r>
            <w:r w:rsidRPr="009973B7">
              <w:rPr>
                <w:bCs/>
                <w:color w:val="000000"/>
                <w:vertAlign w:val="subscript"/>
              </w:rPr>
              <w:t>n</w:t>
            </w:r>
            <w:proofErr w:type="spellEnd"/>
            <w:r w:rsidRPr="009973B7">
              <w:rPr>
                <w:bCs/>
                <w:color w:val="000000"/>
              </w:rPr>
              <w:t xml:space="preserve">), </w:t>
            </w:r>
            <w:r w:rsidRPr="009973B7">
              <w:rPr>
                <w:bCs/>
                <w:color w:val="000000"/>
              </w:rPr>
              <w:br/>
              <w:t xml:space="preserve">г (або </w:t>
            </w:r>
            <w:proofErr w:type="spellStart"/>
            <w:r w:rsidRPr="009973B7">
              <w:rPr>
                <w:bCs/>
                <w:color w:val="000000"/>
              </w:rPr>
              <w:t>мл</w:t>
            </w:r>
            <w:proofErr w:type="spellEnd"/>
            <w:r w:rsidRPr="009973B7">
              <w:rPr>
                <w:bCs/>
                <w:color w:val="000000"/>
              </w:rPr>
              <w:t>)</w:t>
            </w:r>
          </w:p>
        </w:tc>
        <w:tc>
          <w:tcPr>
            <w:tcW w:w="4712" w:type="dxa"/>
            <w:shd w:val="clear" w:color="auto" w:fill="auto"/>
          </w:tcPr>
          <w:p w:rsidR="0050219C" w:rsidRPr="009973B7" w:rsidRDefault="0050219C" w:rsidP="00E23599">
            <w:pPr>
              <w:jc w:val="center"/>
              <w:rPr>
                <w:bCs/>
                <w:color w:val="000000"/>
              </w:rPr>
            </w:pPr>
            <w:r w:rsidRPr="009973B7">
              <w:rPr>
                <w:bCs/>
                <w:color w:val="000000"/>
              </w:rPr>
              <w:t>Мінімальна висота цифр для позначення номінальної кількості, мм</w:t>
            </w:r>
          </w:p>
        </w:tc>
      </w:tr>
      <w:tr w:rsidR="0050219C" w:rsidRPr="009973B7" w:rsidTr="00E23599">
        <w:trPr>
          <w:trHeight w:val="70"/>
          <w:jc w:val="center"/>
        </w:trPr>
        <w:tc>
          <w:tcPr>
            <w:tcW w:w="4359" w:type="dxa"/>
            <w:shd w:val="clear" w:color="auto" w:fill="auto"/>
            <w:vAlign w:val="center"/>
          </w:tcPr>
          <w:p w:rsidR="0050219C" w:rsidRPr="009973B7" w:rsidRDefault="0050219C" w:rsidP="00E23599">
            <w:pPr>
              <w:ind w:firstLine="471"/>
              <w:rPr>
                <w:bCs/>
                <w:color w:val="000000"/>
              </w:rPr>
            </w:pPr>
            <w:r w:rsidRPr="009973B7">
              <w:rPr>
                <w:bCs/>
                <w:color w:val="000000"/>
              </w:rPr>
              <w:t>Від 5 до 50</w:t>
            </w:r>
          </w:p>
        </w:tc>
        <w:tc>
          <w:tcPr>
            <w:tcW w:w="4712" w:type="dxa"/>
            <w:shd w:val="clear" w:color="auto" w:fill="auto"/>
          </w:tcPr>
          <w:p w:rsidR="0050219C" w:rsidRPr="009973B7" w:rsidRDefault="0050219C" w:rsidP="00E23599">
            <w:pPr>
              <w:jc w:val="center"/>
              <w:rPr>
                <w:bCs/>
                <w:color w:val="000000"/>
              </w:rPr>
            </w:pPr>
            <w:r w:rsidRPr="009973B7">
              <w:rPr>
                <w:bCs/>
                <w:color w:val="000000"/>
              </w:rPr>
              <w:t>2</w:t>
            </w:r>
          </w:p>
        </w:tc>
      </w:tr>
      <w:tr w:rsidR="0050219C" w:rsidRPr="009973B7" w:rsidTr="00E23599">
        <w:trPr>
          <w:trHeight w:val="70"/>
          <w:jc w:val="center"/>
        </w:trPr>
        <w:tc>
          <w:tcPr>
            <w:tcW w:w="4359" w:type="dxa"/>
            <w:shd w:val="clear" w:color="auto" w:fill="auto"/>
            <w:vAlign w:val="center"/>
          </w:tcPr>
          <w:p w:rsidR="0050219C" w:rsidRPr="009973B7" w:rsidRDefault="0050219C" w:rsidP="00E23599">
            <w:pPr>
              <w:ind w:firstLine="471"/>
              <w:rPr>
                <w:bCs/>
                <w:color w:val="000000"/>
              </w:rPr>
            </w:pPr>
            <w:r w:rsidRPr="009973B7">
              <w:rPr>
                <w:bCs/>
                <w:color w:val="000000"/>
              </w:rPr>
              <w:lastRenderedPageBreak/>
              <w:t>Понад 50 до 200</w:t>
            </w:r>
          </w:p>
        </w:tc>
        <w:tc>
          <w:tcPr>
            <w:tcW w:w="4712" w:type="dxa"/>
            <w:shd w:val="clear" w:color="auto" w:fill="auto"/>
          </w:tcPr>
          <w:p w:rsidR="0050219C" w:rsidRPr="009973B7" w:rsidRDefault="0050219C" w:rsidP="00E23599">
            <w:pPr>
              <w:jc w:val="center"/>
              <w:rPr>
                <w:bCs/>
                <w:color w:val="000000"/>
              </w:rPr>
            </w:pPr>
            <w:r w:rsidRPr="009973B7">
              <w:rPr>
                <w:bCs/>
                <w:color w:val="000000"/>
              </w:rPr>
              <w:t>3</w:t>
            </w:r>
          </w:p>
        </w:tc>
      </w:tr>
      <w:tr w:rsidR="0050219C" w:rsidRPr="009973B7" w:rsidTr="00E23599">
        <w:trPr>
          <w:trHeight w:val="70"/>
          <w:jc w:val="center"/>
        </w:trPr>
        <w:tc>
          <w:tcPr>
            <w:tcW w:w="4359" w:type="dxa"/>
            <w:shd w:val="clear" w:color="auto" w:fill="auto"/>
            <w:vAlign w:val="center"/>
          </w:tcPr>
          <w:p w:rsidR="0050219C" w:rsidRPr="009973B7" w:rsidRDefault="0050219C" w:rsidP="00E23599">
            <w:pPr>
              <w:ind w:firstLine="471"/>
              <w:rPr>
                <w:bCs/>
                <w:color w:val="000000"/>
              </w:rPr>
            </w:pPr>
            <w:r w:rsidRPr="009973B7">
              <w:rPr>
                <w:bCs/>
                <w:color w:val="000000"/>
              </w:rPr>
              <w:t>Понад 200 до 1000</w:t>
            </w:r>
          </w:p>
        </w:tc>
        <w:tc>
          <w:tcPr>
            <w:tcW w:w="4712" w:type="dxa"/>
            <w:shd w:val="clear" w:color="auto" w:fill="auto"/>
          </w:tcPr>
          <w:p w:rsidR="0050219C" w:rsidRPr="009973B7" w:rsidRDefault="0050219C" w:rsidP="00E23599">
            <w:pPr>
              <w:jc w:val="center"/>
              <w:rPr>
                <w:bCs/>
                <w:color w:val="000000"/>
              </w:rPr>
            </w:pPr>
            <w:r w:rsidRPr="009973B7">
              <w:rPr>
                <w:bCs/>
                <w:color w:val="000000"/>
              </w:rPr>
              <w:t>4</w:t>
            </w:r>
          </w:p>
        </w:tc>
      </w:tr>
      <w:tr w:rsidR="0050219C" w:rsidRPr="009973B7" w:rsidTr="00E23599">
        <w:trPr>
          <w:trHeight w:val="70"/>
          <w:jc w:val="center"/>
        </w:trPr>
        <w:tc>
          <w:tcPr>
            <w:tcW w:w="4359" w:type="dxa"/>
            <w:shd w:val="clear" w:color="auto" w:fill="auto"/>
            <w:vAlign w:val="center"/>
          </w:tcPr>
          <w:p w:rsidR="0050219C" w:rsidRPr="009973B7" w:rsidRDefault="0050219C" w:rsidP="00E23599">
            <w:pPr>
              <w:ind w:firstLine="471"/>
              <w:rPr>
                <w:bCs/>
                <w:color w:val="000000"/>
              </w:rPr>
            </w:pPr>
            <w:r w:rsidRPr="009973B7">
              <w:rPr>
                <w:bCs/>
                <w:color w:val="000000"/>
              </w:rPr>
              <w:t>Понад 1000</w:t>
            </w:r>
          </w:p>
        </w:tc>
        <w:tc>
          <w:tcPr>
            <w:tcW w:w="4712" w:type="dxa"/>
            <w:shd w:val="clear" w:color="auto" w:fill="auto"/>
          </w:tcPr>
          <w:p w:rsidR="0050219C" w:rsidRPr="009973B7" w:rsidRDefault="0050219C" w:rsidP="00E23599">
            <w:pPr>
              <w:jc w:val="center"/>
              <w:rPr>
                <w:bCs/>
                <w:color w:val="000000"/>
              </w:rPr>
            </w:pPr>
            <w:r w:rsidRPr="009973B7">
              <w:rPr>
                <w:bCs/>
                <w:color w:val="000000"/>
              </w:rPr>
              <w:t>6</w:t>
            </w:r>
          </w:p>
        </w:tc>
      </w:tr>
    </w:tbl>
    <w:p w:rsidR="0050219C" w:rsidRPr="009973B7" w:rsidRDefault="0050219C" w:rsidP="0050219C">
      <w:pPr>
        <w:spacing w:before="240" w:line="360" w:lineRule="auto"/>
        <w:ind w:firstLine="539"/>
        <w:jc w:val="both"/>
      </w:pPr>
      <w:r w:rsidRPr="009973B7">
        <w:t>2) знак або напис, який дає змогу центральному органу виконавчої влади, що реалізує державну політику у сфері метрологічного нагляду (далі – орган з метрологічного нагляду), ідентифікувати пакувальника або особу, яка організовує пакування, або імпортера, який є резидентом України;</w:t>
      </w:r>
    </w:p>
    <w:p w:rsidR="0050219C" w:rsidRPr="009973B7" w:rsidRDefault="0050219C" w:rsidP="0050219C">
      <w:pPr>
        <w:spacing w:line="360" w:lineRule="auto"/>
        <w:ind w:firstLine="567"/>
        <w:jc w:val="both"/>
      </w:pPr>
      <w:r w:rsidRPr="009973B7">
        <w:t xml:space="preserve">3) маленька літера "е", висотою не менше ніж </w:t>
      </w:r>
      <w:smartTag w:uri="urn:schemas-microsoft-com:office:smarttags" w:element="metricconverter">
        <w:smartTagPr>
          <w:attr w:name="ProductID" w:val="3 мм"/>
        </w:smartTagPr>
        <w:r w:rsidRPr="009973B7">
          <w:t>3 мм</w:t>
        </w:r>
      </w:smartTag>
      <w:r w:rsidRPr="009973B7">
        <w:t xml:space="preserve">, розташована в тому самому полі зору, що і позначення номінальної маси або номінального об’єму, яка є гарантією пакувальника або імпортера, що упакована одиниця відповідає вимогам цього Технічного регламенту. Знак відповідності упакованої одиниці наноситься лише на упаковані одиниці, номінальна кількість яких є не менше ніж </w:t>
      </w:r>
      <w:smartTag w:uri="urn:schemas-microsoft-com:office:smarttags" w:element="metricconverter">
        <w:smartTagPr>
          <w:attr w:name="ProductID" w:val="5 г"/>
        </w:smartTagPr>
        <w:r w:rsidRPr="009973B7">
          <w:t>5 г</w:t>
        </w:r>
      </w:smartTag>
      <w:r w:rsidRPr="009973B7">
        <w:t xml:space="preserve"> чи 5 </w:t>
      </w:r>
      <w:proofErr w:type="spellStart"/>
      <w:r w:rsidRPr="009973B7">
        <w:t>мл</w:t>
      </w:r>
      <w:proofErr w:type="spellEnd"/>
      <w:r w:rsidRPr="009973B7">
        <w:t xml:space="preserve"> та не більше ніж </w:t>
      </w:r>
      <w:smartTag w:uri="urn:schemas-microsoft-com:office:smarttags" w:element="metricconverter">
        <w:smartTagPr>
          <w:attr w:name="ProductID" w:val="10 кг"/>
        </w:smartTagPr>
        <w:r w:rsidRPr="009973B7">
          <w:t>10 кг</w:t>
        </w:r>
      </w:smartTag>
      <w:r w:rsidRPr="009973B7">
        <w:t xml:space="preserve"> чи </w:t>
      </w:r>
      <w:smartTag w:uri="urn:schemas-microsoft-com:office:smarttags" w:element="metricconverter">
        <w:smartTagPr>
          <w:attr w:name="ProductID" w:val="10 л"/>
        </w:smartTagPr>
        <w:r w:rsidRPr="009973B7">
          <w:t>10 л</w:t>
        </w:r>
      </w:smartTag>
      <w:r w:rsidRPr="009973B7">
        <w:t xml:space="preserve">. Вимоги щодо форми цього знака наведено в додатку 4. </w:t>
      </w:r>
    </w:p>
    <w:p w:rsidR="0050219C" w:rsidRPr="009973B7" w:rsidRDefault="0050219C" w:rsidP="0050219C">
      <w:pPr>
        <w:spacing w:line="360" w:lineRule="auto"/>
        <w:ind w:firstLine="540"/>
        <w:jc w:val="both"/>
      </w:pPr>
      <w:r w:rsidRPr="009973B7">
        <w:t>Не допускається нанесення на упаковані одиниці знаків або написів, які можна сплутати із знаком відповідності упакованої одиниці.</w:t>
      </w:r>
    </w:p>
    <w:p w:rsidR="0050219C" w:rsidRPr="009973B7" w:rsidRDefault="0050219C" w:rsidP="0050219C">
      <w:pPr>
        <w:ind w:firstLine="540"/>
        <w:jc w:val="center"/>
        <w:rPr>
          <w:b/>
        </w:rPr>
      </w:pPr>
    </w:p>
    <w:p w:rsidR="0050219C" w:rsidRPr="009973B7" w:rsidRDefault="0050219C" w:rsidP="0050219C">
      <w:pPr>
        <w:ind w:firstLine="540"/>
        <w:jc w:val="center"/>
        <w:rPr>
          <w:b/>
        </w:rPr>
      </w:pPr>
      <w:r w:rsidRPr="009973B7">
        <w:rPr>
          <w:b/>
        </w:rPr>
        <w:t>Відповідальність пакувальника або імпортера</w:t>
      </w:r>
    </w:p>
    <w:p w:rsidR="0050219C" w:rsidRPr="009973B7" w:rsidRDefault="0050219C" w:rsidP="0050219C">
      <w:pPr>
        <w:ind w:firstLine="539"/>
        <w:jc w:val="center"/>
        <w:rPr>
          <w:b/>
        </w:rPr>
      </w:pPr>
    </w:p>
    <w:p w:rsidR="0050219C" w:rsidRPr="009973B7" w:rsidRDefault="0050219C" w:rsidP="0050219C">
      <w:pPr>
        <w:spacing w:line="360" w:lineRule="auto"/>
        <w:ind w:firstLine="540"/>
        <w:jc w:val="both"/>
      </w:pPr>
      <w:r w:rsidRPr="009973B7">
        <w:t>7. Пакувальник або імпортер несуть відповідальність за забезпечення відповідності упакованої одиниці вимогам цього Технічного регламенту.</w:t>
      </w:r>
    </w:p>
    <w:p w:rsidR="0050219C" w:rsidRPr="009973B7" w:rsidRDefault="0050219C" w:rsidP="0050219C">
      <w:pPr>
        <w:ind w:firstLine="567"/>
        <w:jc w:val="right"/>
      </w:pPr>
      <w:r w:rsidRPr="009973B7">
        <w:t>Продовження додатка 2</w:t>
      </w:r>
    </w:p>
    <w:p w:rsidR="0050219C" w:rsidRPr="009973B7" w:rsidRDefault="0050219C" w:rsidP="0050219C">
      <w:pPr>
        <w:ind w:firstLine="567"/>
        <w:jc w:val="right"/>
      </w:pPr>
    </w:p>
    <w:p w:rsidR="0050219C" w:rsidRPr="009973B7" w:rsidRDefault="0050219C" w:rsidP="0050219C">
      <w:pPr>
        <w:spacing w:line="360" w:lineRule="auto"/>
        <w:ind w:firstLine="567"/>
        <w:jc w:val="both"/>
      </w:pPr>
      <w:r w:rsidRPr="009973B7">
        <w:t>Кількість товару, що міститься в упакованій одиниці (або пакувальна кількість), відома як "фактичний вміст", повинна вимірюватися чи контролюватися за масою або об’ємом під відповідальність пакувальника та/або імпортера. Вимірювання або контроль здійснюють із застосуванням засобів вимірювальної техніки, що пройшли первинну та/або періодичну повірку відповідно до законодавства та придатних для здійснення необхідних процедур.</w:t>
      </w:r>
    </w:p>
    <w:p w:rsidR="0050219C" w:rsidRPr="009973B7" w:rsidRDefault="0050219C" w:rsidP="0050219C">
      <w:pPr>
        <w:spacing w:line="360" w:lineRule="auto"/>
        <w:ind w:firstLine="540"/>
        <w:jc w:val="both"/>
      </w:pPr>
      <w:r w:rsidRPr="009973B7">
        <w:t>Контроль може здійснюватися шляхом вибіркового контролю.</w:t>
      </w:r>
    </w:p>
    <w:p w:rsidR="0050219C" w:rsidRPr="009973B7" w:rsidRDefault="0050219C" w:rsidP="0050219C">
      <w:pPr>
        <w:spacing w:line="360" w:lineRule="auto"/>
        <w:ind w:firstLine="567"/>
        <w:jc w:val="both"/>
      </w:pPr>
      <w:r w:rsidRPr="009973B7">
        <w:t>Якщо фактичний вміст не вимірюють, то контроль, який здійснює пакувальник, повинно бути організовано так, щоб було ефективно забезпечено кількість вмісту.</w:t>
      </w:r>
    </w:p>
    <w:p w:rsidR="0050219C" w:rsidRPr="009973B7" w:rsidRDefault="0050219C" w:rsidP="0050219C">
      <w:pPr>
        <w:spacing w:line="360" w:lineRule="auto"/>
        <w:ind w:firstLine="540"/>
        <w:jc w:val="both"/>
      </w:pPr>
      <w:r w:rsidRPr="009973B7">
        <w:t>Ця умова задовольняється, якщо пакувальник:</w:t>
      </w:r>
    </w:p>
    <w:p w:rsidR="0050219C" w:rsidRPr="009973B7" w:rsidRDefault="0050219C" w:rsidP="0050219C">
      <w:pPr>
        <w:spacing w:line="360" w:lineRule="auto"/>
        <w:ind w:firstLine="540"/>
        <w:jc w:val="both"/>
      </w:pPr>
      <w:r w:rsidRPr="009973B7">
        <w:t>здійснює виробничий контроль відповідно до процедур, що забезпечують однаковість результатів контролю порівняно з процедурою, наведеною в додатку 3, з урахуванням критеріїв, визначених у пункті 8 цього додатка;</w:t>
      </w:r>
    </w:p>
    <w:p w:rsidR="0050219C" w:rsidRPr="009973B7" w:rsidRDefault="0050219C" w:rsidP="0050219C">
      <w:pPr>
        <w:spacing w:line="360" w:lineRule="auto"/>
        <w:ind w:firstLine="540"/>
        <w:jc w:val="both"/>
      </w:pPr>
      <w:r w:rsidRPr="009973B7">
        <w:t xml:space="preserve">зберігає для надання органу з метрологічного нагляду документи, що містять результати такого контролю, з метою засвідчення того, що такий контроль разом з усіма коригуваннями та налагодженнями, які виявилися необхідними, було здійснено належно. </w:t>
      </w:r>
    </w:p>
    <w:p w:rsidR="0050219C" w:rsidRPr="009973B7" w:rsidRDefault="0050219C" w:rsidP="0050219C">
      <w:pPr>
        <w:spacing w:line="360" w:lineRule="auto"/>
        <w:ind w:firstLine="567"/>
        <w:jc w:val="both"/>
      </w:pPr>
      <w:r w:rsidRPr="009973B7">
        <w:lastRenderedPageBreak/>
        <w:t>У разі ввезення упакованих одиниць на територію України представник пакувальника та імпортер, які є резидентами України, повинні зберігати для надання органу з метрологічного нагляду документи, визначені в абзаці сьомому пункту 7 цього додатка.</w:t>
      </w:r>
    </w:p>
    <w:p w:rsidR="0050219C" w:rsidRPr="009973B7" w:rsidRDefault="0050219C" w:rsidP="0050219C">
      <w:pPr>
        <w:spacing w:line="360" w:lineRule="auto"/>
        <w:ind w:firstLine="540"/>
        <w:jc w:val="both"/>
      </w:pPr>
      <w:r w:rsidRPr="009973B7">
        <w:t>Для товарів, кількість яких виражена в одиницях об’єму, одним з кількох методів забезпечення відповідності вимогам щодо вимірювання та контролю є використання (під час виготовлення упакованої одиниці) мірної ємності, тип якої визначено в Технічному регламенті щодо пляшок, які використовуються як мірні ємності*, і яка наповнюється за умов, визначених у зазначеному та в цьому Технічних регламентах.</w:t>
      </w:r>
    </w:p>
    <w:p w:rsidR="0050219C" w:rsidRPr="009973B7" w:rsidRDefault="0050219C" w:rsidP="0050219C">
      <w:pPr>
        <w:ind w:firstLine="539"/>
        <w:jc w:val="right"/>
      </w:pPr>
      <w:r w:rsidRPr="009973B7">
        <w:t>Продовження додатка 2</w:t>
      </w:r>
    </w:p>
    <w:p w:rsidR="0050219C" w:rsidRPr="009973B7" w:rsidRDefault="0050219C" w:rsidP="0050219C">
      <w:pPr>
        <w:ind w:firstLine="539"/>
        <w:jc w:val="right"/>
      </w:pPr>
    </w:p>
    <w:p w:rsidR="0050219C" w:rsidRPr="009973B7" w:rsidRDefault="0050219C" w:rsidP="0050219C">
      <w:pPr>
        <w:spacing w:line="360" w:lineRule="auto"/>
        <w:ind w:firstLine="540"/>
        <w:jc w:val="both"/>
      </w:pPr>
      <w:r w:rsidRPr="009973B7">
        <w:t>* Після прийняття зазначеного Технічного регламенту.</w:t>
      </w:r>
    </w:p>
    <w:p w:rsidR="0050219C" w:rsidRPr="009973B7" w:rsidRDefault="0050219C" w:rsidP="0050219C">
      <w:pPr>
        <w:ind w:firstLine="539"/>
        <w:jc w:val="both"/>
      </w:pPr>
    </w:p>
    <w:p w:rsidR="0050219C" w:rsidRPr="009973B7" w:rsidRDefault="0050219C" w:rsidP="0050219C">
      <w:pPr>
        <w:ind w:firstLine="567"/>
        <w:jc w:val="center"/>
        <w:rPr>
          <w:b/>
        </w:rPr>
      </w:pPr>
      <w:r w:rsidRPr="009973B7">
        <w:rPr>
          <w:b/>
        </w:rPr>
        <w:t xml:space="preserve">Перевірки, що здійснюються органом з метрологічного нагляду </w:t>
      </w:r>
    </w:p>
    <w:p w:rsidR="0050219C" w:rsidRPr="009973B7" w:rsidRDefault="0050219C" w:rsidP="0050219C">
      <w:pPr>
        <w:ind w:firstLine="567"/>
        <w:jc w:val="center"/>
        <w:rPr>
          <w:b/>
        </w:rPr>
      </w:pPr>
      <w:r w:rsidRPr="009973B7">
        <w:rPr>
          <w:b/>
        </w:rPr>
        <w:t xml:space="preserve">у приміщеннях пакувальника чи його представника </w:t>
      </w:r>
    </w:p>
    <w:p w:rsidR="0050219C" w:rsidRPr="009973B7" w:rsidRDefault="0050219C" w:rsidP="0050219C">
      <w:pPr>
        <w:ind w:firstLine="567"/>
        <w:jc w:val="center"/>
        <w:rPr>
          <w:b/>
        </w:rPr>
      </w:pPr>
      <w:r w:rsidRPr="009973B7">
        <w:rPr>
          <w:b/>
        </w:rPr>
        <w:t xml:space="preserve">або імпортера, які є резидентами України </w:t>
      </w:r>
    </w:p>
    <w:p w:rsidR="0050219C" w:rsidRPr="009973B7" w:rsidRDefault="0050219C" w:rsidP="0050219C">
      <w:pPr>
        <w:ind w:firstLine="567"/>
        <w:jc w:val="center"/>
        <w:rPr>
          <w:b/>
        </w:rPr>
      </w:pPr>
    </w:p>
    <w:p w:rsidR="0050219C" w:rsidRPr="009973B7" w:rsidRDefault="0050219C" w:rsidP="0050219C">
      <w:pPr>
        <w:spacing w:line="360" w:lineRule="auto"/>
        <w:ind w:firstLine="567"/>
        <w:jc w:val="both"/>
      </w:pPr>
      <w:r w:rsidRPr="009973B7">
        <w:t>8. Орган з метрологічного нагляду здійснює перевірки з метою встановлення відповідності упакованих одиниць положенням цього Технічного регламенту шляхом вибіркового контролю у приміщеннях пакувальника або, якщо це неможливо, у приміщеннях представника пакувальника або імпортера, які є резидентами України.</w:t>
      </w:r>
    </w:p>
    <w:p w:rsidR="0050219C" w:rsidRPr="009973B7" w:rsidRDefault="0050219C" w:rsidP="0050219C">
      <w:pPr>
        <w:spacing w:line="360" w:lineRule="auto"/>
        <w:ind w:firstLine="567"/>
        <w:jc w:val="both"/>
      </w:pPr>
      <w:r w:rsidRPr="009973B7">
        <w:t>Такий вибірковий статистичний контроль проводять згідно з процедурою, визначеною в додатку 3.</w:t>
      </w:r>
    </w:p>
    <w:p w:rsidR="0050219C" w:rsidRPr="009973B7" w:rsidRDefault="0050219C" w:rsidP="0050219C">
      <w:pPr>
        <w:spacing w:line="360" w:lineRule="auto"/>
        <w:ind w:firstLine="540"/>
        <w:jc w:val="both"/>
      </w:pPr>
      <w:r w:rsidRPr="009973B7">
        <w:t>Стосовно критерію щодо мінімального вмісту, план вибіркового контролю, що використовується, вважають порівнянним з планом, рекомендованим у додатку 3, якщо абсциса точки ординати 0,10 на кривій оперативної характеристики першого плану (імовірність прийняття партії становить 0,10) відхиляється менше ніж на 15 % від абсциси відповідної точки на кривій оперативної характеристики плану вибіркового контролю, рекомендованого в додатку 3.</w:t>
      </w:r>
    </w:p>
    <w:p w:rsidR="0050219C" w:rsidRPr="009973B7" w:rsidRDefault="0050219C" w:rsidP="0050219C">
      <w:pPr>
        <w:spacing w:line="360" w:lineRule="auto"/>
        <w:ind w:firstLine="540"/>
        <w:jc w:val="both"/>
      </w:pPr>
      <w:r w:rsidRPr="009973B7">
        <w:t xml:space="preserve">Стосовно критерію щодо середнього значення, яке обчислюють за методом стандартного відхилення, план вибіркового контролю, що використовується, вважають порівнянним з планом, рекомендованим у додатку 3, якщо беручи до уваги криві оперативних характеристик обох планів, для яких віссю абсцис є </w:t>
      </w:r>
      <w:r w:rsidRPr="009973B7">
        <w:rPr>
          <w:position w:val="-26"/>
        </w:rPr>
        <w:object w:dxaOrig="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5pt" o:ole="">
            <v:imagedata r:id="rId11" o:title=""/>
          </v:shape>
          <o:OLEObject Type="Embed" ProgID="Equation.3" ShapeID="_x0000_i1025" DrawAspect="Content" ObjectID="_1484125419" r:id="rId12"/>
        </w:object>
      </w:r>
      <w:r w:rsidRPr="009973B7">
        <w:t xml:space="preserve"> (m – фактичне середнє значення для партії), абсциса точки ординати 0,10 на кривій першого плану (імовірність прийняття партії становить 0,10) відхиляється менше ніж на 0,05 від абсциси відповідної точки на кривій плану вибіркового контролю, рекомендованого в додатку 3.</w:t>
      </w:r>
    </w:p>
    <w:p w:rsidR="0050219C" w:rsidRPr="009973B7" w:rsidRDefault="0050219C" w:rsidP="0050219C">
      <w:pPr>
        <w:autoSpaceDE w:val="0"/>
        <w:autoSpaceDN w:val="0"/>
        <w:adjustRightInd w:val="0"/>
        <w:ind w:firstLine="539"/>
        <w:jc w:val="center"/>
        <w:rPr>
          <w:b/>
        </w:rPr>
      </w:pPr>
    </w:p>
    <w:p w:rsidR="0050219C" w:rsidRPr="009973B7" w:rsidRDefault="0050219C" w:rsidP="0050219C">
      <w:pPr>
        <w:spacing w:line="360" w:lineRule="auto"/>
        <w:ind w:left="6660"/>
        <w:jc w:val="both"/>
      </w:pPr>
      <w:r w:rsidRPr="009973B7">
        <w:lastRenderedPageBreak/>
        <w:t>Продовження додатка 2</w:t>
      </w:r>
    </w:p>
    <w:p w:rsidR="0050219C" w:rsidRPr="009973B7" w:rsidRDefault="0050219C" w:rsidP="0050219C">
      <w:pPr>
        <w:ind w:firstLine="539"/>
        <w:jc w:val="right"/>
      </w:pPr>
    </w:p>
    <w:p w:rsidR="0050219C" w:rsidRPr="009973B7" w:rsidRDefault="0050219C" w:rsidP="0050219C">
      <w:pPr>
        <w:autoSpaceDE w:val="0"/>
        <w:autoSpaceDN w:val="0"/>
        <w:adjustRightInd w:val="0"/>
        <w:ind w:firstLine="540"/>
        <w:jc w:val="center"/>
        <w:rPr>
          <w:b/>
        </w:rPr>
      </w:pPr>
      <w:r w:rsidRPr="009973B7">
        <w:rPr>
          <w:b/>
        </w:rPr>
        <w:t xml:space="preserve">Інші перевірки, що здійснюються органом з метрологічного нагляду </w:t>
      </w:r>
    </w:p>
    <w:p w:rsidR="0050219C" w:rsidRPr="009973B7" w:rsidRDefault="0050219C" w:rsidP="0050219C">
      <w:pPr>
        <w:autoSpaceDE w:val="0"/>
        <w:autoSpaceDN w:val="0"/>
        <w:adjustRightInd w:val="0"/>
        <w:ind w:firstLine="539"/>
        <w:jc w:val="center"/>
        <w:rPr>
          <w:b/>
        </w:rPr>
      </w:pPr>
    </w:p>
    <w:p w:rsidR="0050219C" w:rsidRPr="009973B7" w:rsidRDefault="0050219C" w:rsidP="0050219C">
      <w:pPr>
        <w:spacing w:line="360" w:lineRule="auto"/>
        <w:ind w:firstLine="540"/>
        <w:jc w:val="both"/>
      </w:pPr>
      <w:r w:rsidRPr="009973B7">
        <w:t xml:space="preserve">9. Цей Технічний регламент не виключає будь-яких перевірок, які відповідно до законодавства може бути здійснено органом з метрологічного нагляду на будь-якому етапі процесу реалізації, зокрема, з метою підтвердження відповідності упакованих одиниць вимогам цього Технічного регламенту. </w:t>
      </w:r>
    </w:p>
    <w:p w:rsidR="0050219C" w:rsidRPr="009973B7" w:rsidRDefault="0050219C" w:rsidP="0050219C">
      <w:pPr>
        <w:spacing w:line="360" w:lineRule="auto"/>
        <w:ind w:firstLine="540"/>
        <w:jc w:val="center"/>
        <w:rPr>
          <w:b/>
        </w:rPr>
      </w:pPr>
      <w:r w:rsidRPr="009973B7">
        <w:rPr>
          <w:b/>
        </w:rPr>
        <w:t>________________________________</w:t>
      </w:r>
    </w:p>
    <w:p w:rsidR="0050219C" w:rsidRPr="009973B7" w:rsidRDefault="0050219C" w:rsidP="0050219C">
      <w:pPr>
        <w:ind w:left="5220"/>
        <w:jc w:val="center"/>
      </w:pPr>
    </w:p>
    <w:p w:rsidR="0050219C" w:rsidRPr="009973B7" w:rsidRDefault="0050219C" w:rsidP="0050219C">
      <w:pPr>
        <w:spacing w:line="360" w:lineRule="auto"/>
        <w:jc w:val="center"/>
      </w:pPr>
    </w:p>
    <w:p w:rsidR="0050219C" w:rsidRPr="009973B7" w:rsidRDefault="0050219C" w:rsidP="0050219C">
      <w:pPr>
        <w:ind w:left="5040"/>
        <w:jc w:val="center"/>
      </w:pPr>
      <w:r w:rsidRPr="009973B7">
        <w:t>Додаток 3</w:t>
      </w:r>
    </w:p>
    <w:p w:rsidR="0050219C" w:rsidRPr="009973B7" w:rsidRDefault="0050219C" w:rsidP="0050219C">
      <w:pPr>
        <w:autoSpaceDE w:val="0"/>
        <w:autoSpaceDN w:val="0"/>
        <w:adjustRightInd w:val="0"/>
        <w:ind w:left="5040"/>
        <w:jc w:val="center"/>
      </w:pPr>
      <w:r w:rsidRPr="009973B7">
        <w:t>до Технічного регламенту</w:t>
      </w:r>
    </w:p>
    <w:p w:rsidR="0050219C" w:rsidRPr="009973B7" w:rsidRDefault="0050219C" w:rsidP="0050219C">
      <w:pPr>
        <w:ind w:left="5040"/>
        <w:jc w:val="center"/>
      </w:pPr>
      <w:r w:rsidRPr="009973B7">
        <w:t>щодо деяких товарів, які фасують</w:t>
      </w:r>
    </w:p>
    <w:p w:rsidR="0050219C" w:rsidRPr="009973B7" w:rsidRDefault="0050219C" w:rsidP="0050219C">
      <w:pPr>
        <w:ind w:left="5040"/>
        <w:jc w:val="center"/>
      </w:pPr>
      <w:r w:rsidRPr="009973B7">
        <w:t>за масою та об’ємом у готову упаковку</w:t>
      </w:r>
    </w:p>
    <w:p w:rsidR="0050219C" w:rsidRPr="009973B7" w:rsidRDefault="0050219C" w:rsidP="0050219C">
      <w:pPr>
        <w:spacing w:line="360" w:lineRule="auto"/>
        <w:jc w:val="right"/>
        <w:rPr>
          <w:b/>
        </w:rPr>
      </w:pPr>
    </w:p>
    <w:p w:rsidR="0050219C" w:rsidRPr="009973B7" w:rsidRDefault="0050219C" w:rsidP="0050219C">
      <w:pPr>
        <w:spacing w:line="360" w:lineRule="auto"/>
        <w:ind w:firstLine="540"/>
        <w:jc w:val="both"/>
      </w:pPr>
      <w:r w:rsidRPr="009973B7">
        <w:t xml:space="preserve">1. Цей додаток установлює процедури стандартного методу статистичного контролю партій упакованих одиниць з метою встановлення відповідності вимогам пунктів 4 та 5 цього Технічного регламенту та </w:t>
      </w:r>
      <w:r w:rsidRPr="009973B7">
        <w:br/>
        <w:t>пункту 8 додатка 2.</w:t>
      </w:r>
    </w:p>
    <w:p w:rsidR="0050219C" w:rsidRPr="009973B7" w:rsidRDefault="0050219C" w:rsidP="0050219C">
      <w:pPr>
        <w:ind w:firstLine="720"/>
        <w:jc w:val="center"/>
        <w:rPr>
          <w:b/>
        </w:rPr>
      </w:pPr>
    </w:p>
    <w:p w:rsidR="0050219C" w:rsidRPr="009973B7" w:rsidRDefault="0050219C" w:rsidP="0050219C">
      <w:pPr>
        <w:ind w:firstLine="720"/>
        <w:jc w:val="center"/>
        <w:rPr>
          <w:b/>
        </w:rPr>
      </w:pPr>
      <w:r w:rsidRPr="009973B7">
        <w:rPr>
          <w:b/>
        </w:rPr>
        <w:t>Вимоги до процедури визначення фактичного вмісту упакованих одиниць</w:t>
      </w:r>
    </w:p>
    <w:p w:rsidR="0050219C" w:rsidRPr="009973B7" w:rsidRDefault="0050219C" w:rsidP="0050219C">
      <w:pPr>
        <w:ind w:firstLine="720"/>
        <w:jc w:val="center"/>
        <w:rPr>
          <w:b/>
        </w:rPr>
      </w:pPr>
    </w:p>
    <w:p w:rsidR="0050219C" w:rsidRPr="009973B7" w:rsidRDefault="0050219C" w:rsidP="0050219C">
      <w:pPr>
        <w:autoSpaceDE w:val="0"/>
        <w:autoSpaceDN w:val="0"/>
        <w:adjustRightInd w:val="0"/>
        <w:spacing w:line="360" w:lineRule="auto"/>
        <w:ind w:firstLine="720"/>
        <w:jc w:val="both"/>
      </w:pPr>
      <w:r w:rsidRPr="009973B7">
        <w:t>2. Фактичний вміст упакованих одиниць може бути визначено безпосередньо за допомогою зважувальних приладів або приладів для визначення об’єму або, у випадку рідин, опосередковано шляхом зважування фасованого товару та визначення його густини.</w:t>
      </w:r>
    </w:p>
    <w:p w:rsidR="0050219C" w:rsidRPr="009973B7" w:rsidRDefault="0050219C" w:rsidP="0050219C">
      <w:pPr>
        <w:autoSpaceDE w:val="0"/>
        <w:autoSpaceDN w:val="0"/>
        <w:adjustRightInd w:val="0"/>
        <w:spacing w:line="360" w:lineRule="auto"/>
        <w:ind w:firstLine="720"/>
        <w:jc w:val="both"/>
      </w:pPr>
      <w:r w:rsidRPr="009973B7">
        <w:t>Незалежно від того, який метод використовують, похибка вимірювання фактичного вмісту упакованих одиниць не повинна перевищувати однієї п’ятої допустимого від’ємного відхилу для номінальної кількості упакованих одиниць.</w:t>
      </w:r>
    </w:p>
    <w:p w:rsidR="0050219C" w:rsidRPr="009973B7" w:rsidRDefault="0050219C" w:rsidP="0050219C">
      <w:pPr>
        <w:spacing w:line="360" w:lineRule="auto"/>
        <w:ind w:firstLine="720"/>
        <w:jc w:val="both"/>
      </w:pPr>
      <w:r w:rsidRPr="009973B7">
        <w:t xml:space="preserve">Процедуру визначення фактичного вмісту упакованих одиниць визначено в національному стандарті ДСТУ OIML R 87. </w:t>
      </w:r>
    </w:p>
    <w:p w:rsidR="0050219C" w:rsidRPr="009973B7" w:rsidRDefault="0050219C" w:rsidP="0050219C">
      <w:pPr>
        <w:autoSpaceDE w:val="0"/>
        <w:autoSpaceDN w:val="0"/>
        <w:adjustRightInd w:val="0"/>
        <w:ind w:firstLine="669"/>
        <w:jc w:val="center"/>
        <w:rPr>
          <w:b/>
        </w:rPr>
      </w:pPr>
    </w:p>
    <w:p w:rsidR="0050219C" w:rsidRPr="009973B7" w:rsidRDefault="0050219C" w:rsidP="0050219C">
      <w:pPr>
        <w:autoSpaceDE w:val="0"/>
        <w:autoSpaceDN w:val="0"/>
        <w:adjustRightInd w:val="0"/>
        <w:spacing w:line="360" w:lineRule="auto"/>
        <w:ind w:firstLine="669"/>
        <w:jc w:val="center"/>
        <w:rPr>
          <w:b/>
        </w:rPr>
      </w:pPr>
      <w:r w:rsidRPr="009973B7">
        <w:rPr>
          <w:b/>
        </w:rPr>
        <w:t>Вимоги до процедури контролю партій упакованих одиниць</w:t>
      </w:r>
    </w:p>
    <w:p w:rsidR="0050219C" w:rsidRPr="009973B7" w:rsidRDefault="0050219C" w:rsidP="0050219C">
      <w:pPr>
        <w:autoSpaceDE w:val="0"/>
        <w:autoSpaceDN w:val="0"/>
        <w:adjustRightInd w:val="0"/>
        <w:ind w:firstLine="669"/>
        <w:jc w:val="center"/>
        <w:rPr>
          <w:b/>
        </w:rPr>
      </w:pPr>
    </w:p>
    <w:p w:rsidR="0050219C" w:rsidRPr="009973B7" w:rsidRDefault="0050219C" w:rsidP="0050219C">
      <w:pPr>
        <w:autoSpaceDE w:val="0"/>
        <w:autoSpaceDN w:val="0"/>
        <w:adjustRightInd w:val="0"/>
        <w:spacing w:line="360" w:lineRule="auto"/>
        <w:ind w:firstLine="540"/>
        <w:jc w:val="both"/>
      </w:pPr>
      <w:r w:rsidRPr="009973B7">
        <w:t>3. Контроль упакованих одиниць проводять шляхом вибіркового контролю у два етапи:</w:t>
      </w:r>
    </w:p>
    <w:p w:rsidR="0050219C" w:rsidRPr="009973B7" w:rsidRDefault="0050219C" w:rsidP="0050219C">
      <w:pPr>
        <w:autoSpaceDE w:val="0"/>
        <w:autoSpaceDN w:val="0"/>
        <w:adjustRightInd w:val="0"/>
        <w:spacing w:line="360" w:lineRule="auto"/>
        <w:ind w:firstLine="540"/>
        <w:jc w:val="both"/>
      </w:pPr>
      <w:r w:rsidRPr="009973B7">
        <w:t>перевірка фактичного вмісту кожної упакованої одиниці у вибірці;</w:t>
      </w:r>
    </w:p>
    <w:p w:rsidR="0050219C" w:rsidRPr="009973B7" w:rsidRDefault="0050219C" w:rsidP="0050219C">
      <w:pPr>
        <w:autoSpaceDE w:val="0"/>
        <w:autoSpaceDN w:val="0"/>
        <w:adjustRightInd w:val="0"/>
        <w:spacing w:line="360" w:lineRule="auto"/>
        <w:ind w:firstLine="540"/>
        <w:jc w:val="both"/>
      </w:pPr>
      <w:r w:rsidRPr="009973B7">
        <w:t>перевірка середнього значення фактичного вмісту упакованих одиниць у вибірці.</w:t>
      </w:r>
    </w:p>
    <w:p w:rsidR="0050219C" w:rsidRPr="009973B7" w:rsidRDefault="0050219C" w:rsidP="0050219C">
      <w:pPr>
        <w:autoSpaceDE w:val="0"/>
        <w:autoSpaceDN w:val="0"/>
        <w:adjustRightInd w:val="0"/>
        <w:spacing w:line="360" w:lineRule="auto"/>
        <w:ind w:firstLine="540"/>
        <w:jc w:val="both"/>
      </w:pPr>
      <w:r w:rsidRPr="009973B7">
        <w:t>Партію упакованих одиниць вважають прийнятною, якщо результати обох перевірок відповідають критеріям прийняття.</w:t>
      </w:r>
    </w:p>
    <w:p w:rsidR="0050219C" w:rsidRPr="009973B7" w:rsidRDefault="0050219C" w:rsidP="0050219C">
      <w:pPr>
        <w:autoSpaceDE w:val="0"/>
        <w:autoSpaceDN w:val="0"/>
        <w:adjustRightInd w:val="0"/>
        <w:spacing w:line="360" w:lineRule="auto"/>
        <w:ind w:firstLine="540"/>
        <w:jc w:val="right"/>
      </w:pPr>
      <w:r w:rsidRPr="009973B7">
        <w:lastRenderedPageBreak/>
        <w:t>Продовження додатка 3</w:t>
      </w:r>
    </w:p>
    <w:p w:rsidR="0050219C" w:rsidRPr="009973B7" w:rsidRDefault="0050219C" w:rsidP="0050219C">
      <w:pPr>
        <w:autoSpaceDE w:val="0"/>
        <w:autoSpaceDN w:val="0"/>
        <w:adjustRightInd w:val="0"/>
        <w:ind w:firstLine="539"/>
        <w:jc w:val="right"/>
      </w:pPr>
    </w:p>
    <w:p w:rsidR="0050219C" w:rsidRPr="009973B7" w:rsidRDefault="0050219C" w:rsidP="0050219C">
      <w:pPr>
        <w:autoSpaceDE w:val="0"/>
        <w:autoSpaceDN w:val="0"/>
        <w:adjustRightInd w:val="0"/>
        <w:spacing w:line="360" w:lineRule="auto"/>
        <w:ind w:firstLine="540"/>
        <w:jc w:val="both"/>
      </w:pPr>
      <w:r w:rsidRPr="009973B7">
        <w:t>Для кожної з цих перевірок є два плани вибіркового контролю:</w:t>
      </w:r>
    </w:p>
    <w:p w:rsidR="0050219C" w:rsidRPr="009973B7" w:rsidRDefault="0050219C" w:rsidP="0050219C">
      <w:pPr>
        <w:autoSpaceDE w:val="0"/>
        <w:autoSpaceDN w:val="0"/>
        <w:adjustRightInd w:val="0"/>
        <w:spacing w:line="360" w:lineRule="auto"/>
        <w:ind w:firstLine="540"/>
        <w:jc w:val="both"/>
      </w:pPr>
      <w:r w:rsidRPr="009973B7">
        <w:t>план неруйнівного контролю, яким не передбачено розкриття упаковки;</w:t>
      </w:r>
    </w:p>
    <w:p w:rsidR="0050219C" w:rsidRPr="009973B7" w:rsidRDefault="0050219C" w:rsidP="0050219C">
      <w:pPr>
        <w:spacing w:line="360" w:lineRule="auto"/>
        <w:ind w:firstLine="540"/>
        <w:jc w:val="both"/>
      </w:pPr>
      <w:r w:rsidRPr="009973B7">
        <w:t>план руйнівного контролю, яким передбачено розкриття чи знищення упаковки.</w:t>
      </w:r>
    </w:p>
    <w:p w:rsidR="0050219C" w:rsidRPr="009973B7" w:rsidRDefault="0050219C" w:rsidP="0050219C">
      <w:pPr>
        <w:autoSpaceDE w:val="0"/>
        <w:autoSpaceDN w:val="0"/>
        <w:adjustRightInd w:val="0"/>
        <w:spacing w:line="360" w:lineRule="auto"/>
        <w:ind w:firstLine="540"/>
        <w:jc w:val="both"/>
      </w:pPr>
      <w:r w:rsidRPr="009973B7">
        <w:t>З економічних і практичних міркувань руйнівний контроль застосовують у разі крайньої необхідності, він є менш ефективним за неруйнівний контроль.</w:t>
      </w:r>
    </w:p>
    <w:p w:rsidR="0050219C" w:rsidRPr="009973B7" w:rsidRDefault="0050219C" w:rsidP="0050219C">
      <w:pPr>
        <w:spacing w:line="360" w:lineRule="auto"/>
        <w:ind w:firstLine="540"/>
        <w:jc w:val="both"/>
      </w:pPr>
      <w:r w:rsidRPr="009973B7">
        <w:t>Руйнівний контроль необхідно проводити лише тоді, коли проведення неруйнівного контролю є неможливим. Його не застосовують до партії, кількість одиниць у якій є меншою за 100.</w:t>
      </w:r>
    </w:p>
    <w:p w:rsidR="0050219C" w:rsidRPr="009973B7" w:rsidRDefault="0050219C" w:rsidP="0050219C">
      <w:pPr>
        <w:autoSpaceDE w:val="0"/>
        <w:autoSpaceDN w:val="0"/>
        <w:adjustRightInd w:val="0"/>
        <w:ind w:firstLine="601"/>
        <w:jc w:val="center"/>
        <w:rPr>
          <w:b/>
        </w:rPr>
      </w:pPr>
    </w:p>
    <w:p w:rsidR="0050219C" w:rsidRPr="009973B7" w:rsidRDefault="0050219C" w:rsidP="0050219C">
      <w:pPr>
        <w:autoSpaceDE w:val="0"/>
        <w:autoSpaceDN w:val="0"/>
        <w:adjustRightInd w:val="0"/>
        <w:spacing w:line="360" w:lineRule="auto"/>
        <w:ind w:firstLine="601"/>
        <w:jc w:val="center"/>
        <w:rPr>
          <w:b/>
        </w:rPr>
      </w:pPr>
      <w:r w:rsidRPr="009973B7">
        <w:rPr>
          <w:b/>
        </w:rPr>
        <w:t>Партії упакованих одиниць</w:t>
      </w:r>
    </w:p>
    <w:p w:rsidR="0050219C" w:rsidRPr="009973B7" w:rsidRDefault="0050219C" w:rsidP="0050219C">
      <w:pPr>
        <w:autoSpaceDE w:val="0"/>
        <w:autoSpaceDN w:val="0"/>
        <w:adjustRightInd w:val="0"/>
        <w:ind w:firstLine="601"/>
        <w:jc w:val="center"/>
        <w:rPr>
          <w:b/>
        </w:rPr>
      </w:pPr>
    </w:p>
    <w:p w:rsidR="0050219C" w:rsidRPr="009973B7" w:rsidRDefault="0050219C" w:rsidP="0050219C">
      <w:pPr>
        <w:autoSpaceDE w:val="0"/>
        <w:autoSpaceDN w:val="0"/>
        <w:adjustRightInd w:val="0"/>
        <w:spacing w:line="360" w:lineRule="auto"/>
        <w:ind w:firstLine="601"/>
        <w:jc w:val="both"/>
      </w:pPr>
      <w:r w:rsidRPr="009973B7">
        <w:t>4. Усі упаковані одиниці в партії, що підлягають контролю, повинні бути однакової номінальної кількості, одного і того самого типу та виготовлені в межах одного і того ж виробничого циклу, упаковані в тому самому місці. Розмір партії обмежують відповідно до зазначених нижче вимог.</w:t>
      </w:r>
    </w:p>
    <w:p w:rsidR="0050219C" w:rsidRPr="009973B7" w:rsidRDefault="0050219C" w:rsidP="0050219C">
      <w:pPr>
        <w:autoSpaceDE w:val="0"/>
        <w:autoSpaceDN w:val="0"/>
        <w:adjustRightInd w:val="0"/>
        <w:spacing w:line="360" w:lineRule="auto"/>
        <w:ind w:firstLine="601"/>
        <w:jc w:val="both"/>
      </w:pPr>
      <w:r w:rsidRPr="009973B7">
        <w:t>5. Якщо упаковані одиниці контролюють у кінці пакувальної лінії, то їх кількість у кожній партії дорівнює максимальній годинній продуктивності пакувальної лінії, без жодних обмежень щодо розміру партії.</w:t>
      </w:r>
    </w:p>
    <w:p w:rsidR="0050219C" w:rsidRPr="009973B7" w:rsidRDefault="0050219C" w:rsidP="0050219C">
      <w:pPr>
        <w:autoSpaceDE w:val="0"/>
        <w:autoSpaceDN w:val="0"/>
        <w:adjustRightInd w:val="0"/>
        <w:spacing w:line="360" w:lineRule="auto"/>
        <w:ind w:firstLine="601"/>
        <w:jc w:val="both"/>
      </w:pPr>
      <w:r w:rsidRPr="009973B7">
        <w:t>В іншому разі розмір партії не повинен перевищувати 10 тис. одиниць.</w:t>
      </w:r>
    </w:p>
    <w:p w:rsidR="0050219C" w:rsidRPr="009973B7" w:rsidRDefault="0050219C" w:rsidP="0050219C">
      <w:pPr>
        <w:autoSpaceDE w:val="0"/>
        <w:autoSpaceDN w:val="0"/>
        <w:adjustRightInd w:val="0"/>
        <w:spacing w:line="360" w:lineRule="auto"/>
        <w:ind w:firstLine="601"/>
        <w:jc w:val="both"/>
      </w:pPr>
      <w:r w:rsidRPr="009973B7">
        <w:t>6. Неруйнівний контроль для партій, що складаються з менш ніж 100 упакованих одиниць, необхідно застосовувати до всіх одиниць у партії.</w:t>
      </w:r>
    </w:p>
    <w:p w:rsidR="0050219C" w:rsidRPr="009973B7" w:rsidRDefault="0050219C" w:rsidP="0050219C">
      <w:pPr>
        <w:autoSpaceDE w:val="0"/>
        <w:autoSpaceDN w:val="0"/>
        <w:adjustRightInd w:val="0"/>
        <w:spacing w:line="360" w:lineRule="auto"/>
        <w:ind w:firstLine="601"/>
        <w:jc w:val="both"/>
      </w:pPr>
      <w:r w:rsidRPr="009973B7">
        <w:t xml:space="preserve">7. До проведення випробувань, описаних у пунктах 8–14 цього додатка, з партії випадково відбирають достатню кількість упакованих одиниць </w:t>
      </w:r>
    </w:p>
    <w:p w:rsidR="0050219C" w:rsidRPr="009973B7" w:rsidRDefault="0050219C" w:rsidP="0050219C">
      <w:pPr>
        <w:autoSpaceDE w:val="0"/>
        <w:autoSpaceDN w:val="0"/>
        <w:adjustRightInd w:val="0"/>
        <w:spacing w:line="360" w:lineRule="auto"/>
        <w:jc w:val="both"/>
      </w:pPr>
      <w:r w:rsidRPr="009973B7">
        <w:t>відповідно до таблиць 1 і 2 цього додатка, щоб можна було здійснити перевірку, яка потребує більшої вибірки.</w:t>
      </w:r>
    </w:p>
    <w:p w:rsidR="0050219C" w:rsidRPr="009973B7" w:rsidRDefault="0050219C" w:rsidP="0050219C">
      <w:pPr>
        <w:autoSpaceDE w:val="0"/>
        <w:autoSpaceDN w:val="0"/>
        <w:adjustRightInd w:val="0"/>
        <w:spacing w:line="360" w:lineRule="auto"/>
        <w:ind w:firstLine="601"/>
        <w:jc w:val="both"/>
      </w:pPr>
      <w:r w:rsidRPr="009973B7">
        <w:t>Для наступної перевірки необхідну вибірку випадково відбирають з першої вибірки та позначають її.</w:t>
      </w:r>
    </w:p>
    <w:p w:rsidR="0050219C" w:rsidRPr="009973B7" w:rsidRDefault="0050219C" w:rsidP="0050219C">
      <w:pPr>
        <w:spacing w:line="360" w:lineRule="auto"/>
        <w:ind w:firstLine="601"/>
        <w:jc w:val="both"/>
      </w:pPr>
      <w:r w:rsidRPr="009973B7">
        <w:t>Процес позначення завершують до початку процедури вимірювання.</w:t>
      </w:r>
    </w:p>
    <w:p w:rsidR="0050219C" w:rsidRPr="009973B7" w:rsidRDefault="0050219C" w:rsidP="0050219C">
      <w:pPr>
        <w:autoSpaceDE w:val="0"/>
        <w:autoSpaceDN w:val="0"/>
        <w:adjustRightInd w:val="0"/>
        <w:spacing w:line="360" w:lineRule="auto"/>
        <w:ind w:firstLine="601"/>
        <w:jc w:val="right"/>
      </w:pPr>
      <w:r w:rsidRPr="009973B7">
        <w:t>Продовження додатка 3</w:t>
      </w:r>
    </w:p>
    <w:p w:rsidR="0050219C" w:rsidRPr="009973B7" w:rsidRDefault="0050219C" w:rsidP="0050219C">
      <w:pPr>
        <w:autoSpaceDE w:val="0"/>
        <w:autoSpaceDN w:val="0"/>
        <w:adjustRightInd w:val="0"/>
        <w:ind w:firstLine="601"/>
        <w:jc w:val="right"/>
      </w:pPr>
    </w:p>
    <w:p w:rsidR="0050219C" w:rsidRPr="009973B7" w:rsidRDefault="0050219C" w:rsidP="0050219C">
      <w:pPr>
        <w:spacing w:line="360" w:lineRule="auto"/>
        <w:ind w:firstLine="567"/>
        <w:jc w:val="center"/>
        <w:rPr>
          <w:b/>
        </w:rPr>
      </w:pPr>
      <w:r w:rsidRPr="009973B7">
        <w:rPr>
          <w:b/>
        </w:rPr>
        <w:t>Перевірка фактичного вмісту упакованих одиниць</w:t>
      </w:r>
    </w:p>
    <w:p w:rsidR="0050219C" w:rsidRPr="009973B7" w:rsidRDefault="0050219C" w:rsidP="0050219C">
      <w:pPr>
        <w:ind w:firstLine="567"/>
        <w:jc w:val="center"/>
      </w:pPr>
    </w:p>
    <w:p w:rsidR="0050219C" w:rsidRPr="009973B7" w:rsidRDefault="0050219C" w:rsidP="0050219C">
      <w:pPr>
        <w:spacing w:line="360" w:lineRule="auto"/>
        <w:ind w:firstLine="567"/>
        <w:jc w:val="both"/>
      </w:pPr>
      <w:r w:rsidRPr="009973B7">
        <w:t>8. Мінімальний прийнятний вміст є різницею між номінальною кількістю упакованої одиниці та допустимим від’ємним відхилом для відповідного вмісту.</w:t>
      </w:r>
    </w:p>
    <w:p w:rsidR="0050219C" w:rsidRPr="009973B7" w:rsidRDefault="0050219C" w:rsidP="0050219C">
      <w:pPr>
        <w:spacing w:line="360" w:lineRule="auto"/>
        <w:ind w:firstLine="567"/>
        <w:jc w:val="both"/>
      </w:pPr>
      <w:r w:rsidRPr="009973B7">
        <w:lastRenderedPageBreak/>
        <w:t>Упаковані одиниці в партії, фактичний вміст яких є меншим за мінімальний прийнятний вміст, уважають невідповідними.</w:t>
      </w:r>
    </w:p>
    <w:p w:rsidR="0050219C" w:rsidRPr="009973B7" w:rsidRDefault="0050219C" w:rsidP="0050219C">
      <w:pPr>
        <w:jc w:val="center"/>
        <w:rPr>
          <w:b/>
        </w:rPr>
      </w:pPr>
    </w:p>
    <w:p w:rsidR="0050219C" w:rsidRPr="009973B7" w:rsidRDefault="0050219C" w:rsidP="0050219C">
      <w:pPr>
        <w:jc w:val="center"/>
        <w:rPr>
          <w:b/>
        </w:rPr>
      </w:pPr>
      <w:r w:rsidRPr="009973B7">
        <w:rPr>
          <w:b/>
        </w:rPr>
        <w:t>Неруйнівний контроль</w:t>
      </w:r>
    </w:p>
    <w:p w:rsidR="0050219C" w:rsidRPr="009973B7" w:rsidRDefault="0050219C" w:rsidP="0050219C">
      <w:pPr>
        <w:jc w:val="center"/>
        <w:rPr>
          <w:b/>
        </w:rPr>
      </w:pPr>
    </w:p>
    <w:p w:rsidR="0050219C" w:rsidRPr="009973B7" w:rsidRDefault="0050219C" w:rsidP="0050219C">
      <w:pPr>
        <w:spacing w:line="360" w:lineRule="auto"/>
        <w:ind w:firstLine="567"/>
        <w:jc w:val="both"/>
      </w:pPr>
      <w:r w:rsidRPr="009973B7">
        <w:t xml:space="preserve">9. Неруйнівний контроль проводять згідно з планом подвійного вибіркового контролю, зазначеним у таблиці 1 цього додатка. </w:t>
      </w:r>
    </w:p>
    <w:p w:rsidR="0050219C" w:rsidRPr="009973B7" w:rsidRDefault="0050219C" w:rsidP="0050219C">
      <w:pPr>
        <w:spacing w:line="360" w:lineRule="auto"/>
        <w:ind w:firstLine="567"/>
        <w:jc w:val="both"/>
      </w:pPr>
      <w:r w:rsidRPr="009973B7">
        <w:t>Перша кількість упакованих одиниць, які підлягають перевірці, дорівнює кількості одиниць у першій вибірці, як зазначено в плані, і:</w:t>
      </w:r>
    </w:p>
    <w:p w:rsidR="0050219C" w:rsidRPr="009973B7" w:rsidRDefault="0050219C" w:rsidP="0050219C">
      <w:pPr>
        <w:spacing w:line="360" w:lineRule="auto"/>
        <w:ind w:firstLine="567"/>
        <w:jc w:val="both"/>
      </w:pPr>
      <w:r w:rsidRPr="009973B7">
        <w:t>якщо кількість невідповідних одиниць, виявлених у першій вибірці, є меншою чи дорівнює першому критерію прийняття, партію вважають прийнятною для цілей даної перевірки;</w:t>
      </w:r>
    </w:p>
    <w:p w:rsidR="0050219C" w:rsidRPr="009973B7" w:rsidRDefault="0050219C" w:rsidP="0050219C">
      <w:pPr>
        <w:spacing w:line="360" w:lineRule="auto"/>
        <w:ind w:firstLine="567"/>
        <w:jc w:val="both"/>
      </w:pPr>
      <w:r w:rsidRPr="009973B7">
        <w:t>якщо кількість невідповідних одиниць, виявлених у першій вибірці, дорівнює або є більшою за перший критерій неприйняття, партію бракують;</w:t>
      </w:r>
    </w:p>
    <w:p w:rsidR="0050219C" w:rsidRPr="009973B7" w:rsidRDefault="0050219C" w:rsidP="0050219C">
      <w:pPr>
        <w:spacing w:line="360" w:lineRule="auto"/>
        <w:ind w:firstLine="567"/>
        <w:jc w:val="both"/>
      </w:pPr>
      <w:r w:rsidRPr="009973B7">
        <w:t>якщо кількість невідповідних одиниць, виявлених у першій вибірці, знаходиться між першим критерієм прийняття та першим критерієм неприйняття, перевіряється друга вибірка, кількість одиниць в якій вказано у плані.</w:t>
      </w:r>
    </w:p>
    <w:p w:rsidR="0050219C" w:rsidRPr="009973B7" w:rsidRDefault="0050219C" w:rsidP="0050219C">
      <w:pPr>
        <w:spacing w:line="360" w:lineRule="auto"/>
        <w:ind w:firstLine="567"/>
        <w:jc w:val="both"/>
      </w:pPr>
      <w:r w:rsidRPr="009973B7">
        <w:t>Невідповідні одиниці, виявлені у першій та другій вибірках, об’єднують, і:</w:t>
      </w:r>
    </w:p>
    <w:p w:rsidR="0050219C" w:rsidRPr="009973B7" w:rsidRDefault="0050219C" w:rsidP="0050219C">
      <w:pPr>
        <w:spacing w:line="360" w:lineRule="auto"/>
        <w:ind w:firstLine="567"/>
        <w:jc w:val="both"/>
      </w:pPr>
      <w:r w:rsidRPr="009973B7">
        <w:t>якщо сумарна кількість невідповідних одиниць є меншою або дорівнює другому критерію прийняття, партію вважають прийнятною для цілей даної перевірки;</w:t>
      </w:r>
    </w:p>
    <w:p w:rsidR="0050219C" w:rsidRPr="009973B7" w:rsidRDefault="0050219C" w:rsidP="0050219C">
      <w:pPr>
        <w:spacing w:line="360" w:lineRule="auto"/>
        <w:ind w:firstLine="567"/>
        <w:jc w:val="both"/>
      </w:pPr>
      <w:r w:rsidRPr="009973B7">
        <w:t>якщо сумарна кількість невідповідних одиниць дорівнює або є більшою за другий критерій неприйняття, партію бракують.</w:t>
      </w:r>
    </w:p>
    <w:p w:rsidR="0050219C" w:rsidRPr="009973B7" w:rsidRDefault="0050219C" w:rsidP="0050219C">
      <w:pPr>
        <w:spacing w:line="360" w:lineRule="auto"/>
        <w:ind w:firstLine="567"/>
        <w:jc w:val="right"/>
      </w:pPr>
    </w:p>
    <w:p w:rsidR="0050219C" w:rsidRPr="009973B7" w:rsidRDefault="0050219C" w:rsidP="0050219C">
      <w:pPr>
        <w:autoSpaceDE w:val="0"/>
        <w:autoSpaceDN w:val="0"/>
        <w:adjustRightInd w:val="0"/>
        <w:spacing w:line="360" w:lineRule="auto"/>
        <w:ind w:firstLine="601"/>
        <w:jc w:val="right"/>
      </w:pPr>
      <w:r w:rsidRPr="009973B7">
        <w:t>Продовження додатка 3</w:t>
      </w:r>
    </w:p>
    <w:p w:rsidR="0050219C" w:rsidRPr="009973B7" w:rsidRDefault="0050219C" w:rsidP="0050219C">
      <w:pPr>
        <w:autoSpaceDE w:val="0"/>
        <w:autoSpaceDN w:val="0"/>
        <w:adjustRightInd w:val="0"/>
        <w:ind w:firstLine="601"/>
        <w:jc w:val="right"/>
      </w:pPr>
    </w:p>
    <w:p w:rsidR="0050219C" w:rsidRPr="009973B7" w:rsidRDefault="0050219C" w:rsidP="0050219C">
      <w:pPr>
        <w:spacing w:line="360" w:lineRule="auto"/>
        <w:ind w:firstLine="567"/>
        <w:jc w:val="right"/>
      </w:pPr>
      <w:r w:rsidRPr="009973B7">
        <w:t>Таблиця 1</w:t>
      </w:r>
    </w:p>
    <w:tbl>
      <w:tblPr>
        <w:tblW w:w="91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620"/>
        <w:gridCol w:w="1111"/>
        <w:gridCol w:w="1244"/>
        <w:gridCol w:w="1403"/>
        <w:gridCol w:w="1658"/>
      </w:tblGrid>
      <w:tr w:rsidR="0050219C" w:rsidRPr="009973B7" w:rsidTr="00E23599">
        <w:trPr>
          <w:trHeight w:val="166"/>
        </w:trPr>
        <w:tc>
          <w:tcPr>
            <w:tcW w:w="2160" w:type="dxa"/>
            <w:vMerge w:val="restart"/>
            <w:shd w:val="clear" w:color="auto" w:fill="auto"/>
          </w:tcPr>
          <w:p w:rsidR="0050219C" w:rsidRPr="009973B7" w:rsidRDefault="0050219C" w:rsidP="00E23599">
            <w:pPr>
              <w:autoSpaceDE w:val="0"/>
              <w:autoSpaceDN w:val="0"/>
              <w:adjustRightInd w:val="0"/>
              <w:ind w:right="-1"/>
              <w:jc w:val="center"/>
            </w:pPr>
            <w:r w:rsidRPr="009973B7">
              <w:t>Кількість у партії</w:t>
            </w:r>
          </w:p>
        </w:tc>
        <w:tc>
          <w:tcPr>
            <w:tcW w:w="3975" w:type="dxa"/>
            <w:gridSpan w:val="3"/>
            <w:shd w:val="clear" w:color="auto" w:fill="auto"/>
          </w:tcPr>
          <w:p w:rsidR="0050219C" w:rsidRPr="009973B7" w:rsidRDefault="0050219C" w:rsidP="00E23599">
            <w:pPr>
              <w:autoSpaceDE w:val="0"/>
              <w:autoSpaceDN w:val="0"/>
              <w:adjustRightInd w:val="0"/>
              <w:ind w:right="34"/>
              <w:jc w:val="center"/>
            </w:pPr>
            <w:r w:rsidRPr="009973B7">
              <w:t>Вибірки</w:t>
            </w:r>
          </w:p>
        </w:tc>
        <w:tc>
          <w:tcPr>
            <w:tcW w:w="3061" w:type="dxa"/>
            <w:gridSpan w:val="2"/>
            <w:shd w:val="clear" w:color="auto" w:fill="auto"/>
          </w:tcPr>
          <w:p w:rsidR="0050219C" w:rsidRPr="009973B7" w:rsidRDefault="0050219C" w:rsidP="00E23599">
            <w:pPr>
              <w:autoSpaceDE w:val="0"/>
              <w:autoSpaceDN w:val="0"/>
              <w:adjustRightInd w:val="0"/>
              <w:ind w:right="34"/>
              <w:jc w:val="center"/>
            </w:pPr>
            <w:r w:rsidRPr="009973B7">
              <w:t>Кількість невідповідних одиниць</w:t>
            </w:r>
          </w:p>
        </w:tc>
      </w:tr>
      <w:tr w:rsidR="0050219C" w:rsidRPr="009973B7" w:rsidTr="00E23599">
        <w:trPr>
          <w:trHeight w:val="166"/>
        </w:trPr>
        <w:tc>
          <w:tcPr>
            <w:tcW w:w="2160" w:type="dxa"/>
            <w:vMerge/>
            <w:shd w:val="clear" w:color="auto" w:fill="auto"/>
          </w:tcPr>
          <w:p w:rsidR="0050219C" w:rsidRPr="009973B7" w:rsidRDefault="0050219C" w:rsidP="00E23599">
            <w:pPr>
              <w:autoSpaceDE w:val="0"/>
              <w:autoSpaceDN w:val="0"/>
              <w:adjustRightInd w:val="0"/>
              <w:ind w:right="-1"/>
              <w:jc w:val="both"/>
            </w:pPr>
          </w:p>
        </w:tc>
        <w:tc>
          <w:tcPr>
            <w:tcW w:w="1620" w:type="dxa"/>
            <w:shd w:val="clear" w:color="auto" w:fill="auto"/>
          </w:tcPr>
          <w:p w:rsidR="0050219C" w:rsidRPr="009973B7" w:rsidRDefault="0050219C" w:rsidP="00E23599">
            <w:pPr>
              <w:tabs>
                <w:tab w:val="left" w:pos="1512"/>
              </w:tabs>
              <w:autoSpaceDE w:val="0"/>
              <w:autoSpaceDN w:val="0"/>
              <w:adjustRightInd w:val="0"/>
              <w:ind w:left="-108" w:right="34"/>
              <w:jc w:val="center"/>
            </w:pPr>
            <w:r w:rsidRPr="009973B7">
              <w:t>послідовність</w:t>
            </w:r>
          </w:p>
        </w:tc>
        <w:tc>
          <w:tcPr>
            <w:tcW w:w="1111" w:type="dxa"/>
            <w:shd w:val="clear" w:color="auto" w:fill="auto"/>
          </w:tcPr>
          <w:p w:rsidR="0050219C" w:rsidRPr="009973B7" w:rsidRDefault="0050219C" w:rsidP="00E23599">
            <w:pPr>
              <w:autoSpaceDE w:val="0"/>
              <w:autoSpaceDN w:val="0"/>
              <w:adjustRightInd w:val="0"/>
              <w:ind w:right="-77"/>
              <w:jc w:val="center"/>
            </w:pPr>
            <w:r w:rsidRPr="009973B7">
              <w:t>кількість</w:t>
            </w:r>
          </w:p>
          <w:p w:rsidR="0050219C" w:rsidRPr="009973B7" w:rsidRDefault="0050219C" w:rsidP="00E23599">
            <w:pPr>
              <w:autoSpaceDE w:val="0"/>
              <w:autoSpaceDN w:val="0"/>
              <w:adjustRightInd w:val="0"/>
              <w:ind w:right="34"/>
              <w:jc w:val="center"/>
            </w:pPr>
          </w:p>
        </w:tc>
        <w:tc>
          <w:tcPr>
            <w:tcW w:w="1244" w:type="dxa"/>
            <w:shd w:val="clear" w:color="auto" w:fill="auto"/>
          </w:tcPr>
          <w:p w:rsidR="0050219C" w:rsidRPr="009973B7" w:rsidRDefault="0050219C" w:rsidP="00E23599">
            <w:pPr>
              <w:autoSpaceDE w:val="0"/>
              <w:autoSpaceDN w:val="0"/>
              <w:adjustRightInd w:val="0"/>
              <w:ind w:right="34"/>
              <w:jc w:val="center"/>
            </w:pPr>
            <w:r w:rsidRPr="009973B7">
              <w:t>сумарна кількість</w:t>
            </w:r>
          </w:p>
        </w:tc>
        <w:tc>
          <w:tcPr>
            <w:tcW w:w="1403" w:type="dxa"/>
            <w:shd w:val="clear" w:color="auto" w:fill="auto"/>
          </w:tcPr>
          <w:p w:rsidR="0050219C" w:rsidRPr="009973B7" w:rsidRDefault="0050219C" w:rsidP="00E23599">
            <w:pPr>
              <w:autoSpaceDE w:val="0"/>
              <w:autoSpaceDN w:val="0"/>
              <w:adjustRightInd w:val="0"/>
              <w:ind w:right="34"/>
              <w:jc w:val="center"/>
            </w:pPr>
            <w:r w:rsidRPr="009973B7">
              <w:t>критерій прийняття</w:t>
            </w:r>
          </w:p>
        </w:tc>
        <w:tc>
          <w:tcPr>
            <w:tcW w:w="1658" w:type="dxa"/>
            <w:shd w:val="clear" w:color="auto" w:fill="auto"/>
          </w:tcPr>
          <w:p w:rsidR="0050219C" w:rsidRPr="009973B7" w:rsidRDefault="0050219C" w:rsidP="00E23599">
            <w:pPr>
              <w:autoSpaceDE w:val="0"/>
              <w:autoSpaceDN w:val="0"/>
              <w:adjustRightInd w:val="0"/>
              <w:ind w:right="34"/>
              <w:jc w:val="center"/>
            </w:pPr>
            <w:r w:rsidRPr="009973B7">
              <w:t>критерій неприйняття</w:t>
            </w:r>
          </w:p>
        </w:tc>
      </w:tr>
      <w:tr w:rsidR="0050219C" w:rsidRPr="009973B7" w:rsidTr="00E23599">
        <w:tc>
          <w:tcPr>
            <w:tcW w:w="2160" w:type="dxa"/>
            <w:shd w:val="clear" w:color="auto" w:fill="auto"/>
          </w:tcPr>
          <w:p w:rsidR="0050219C" w:rsidRPr="009973B7" w:rsidRDefault="0050219C" w:rsidP="00E23599">
            <w:pPr>
              <w:autoSpaceDE w:val="0"/>
              <w:autoSpaceDN w:val="0"/>
              <w:adjustRightInd w:val="0"/>
              <w:ind w:right="-1"/>
            </w:pPr>
            <w:r w:rsidRPr="009973B7">
              <w:t>Від 100 до 500</w:t>
            </w:r>
          </w:p>
        </w:tc>
        <w:tc>
          <w:tcPr>
            <w:tcW w:w="1620" w:type="dxa"/>
            <w:shd w:val="clear" w:color="auto" w:fill="auto"/>
          </w:tcPr>
          <w:p w:rsidR="0050219C" w:rsidRPr="009973B7" w:rsidRDefault="0050219C" w:rsidP="00E23599">
            <w:pPr>
              <w:autoSpaceDE w:val="0"/>
              <w:autoSpaceDN w:val="0"/>
              <w:adjustRightInd w:val="0"/>
              <w:ind w:right="-1"/>
              <w:jc w:val="center"/>
            </w:pPr>
            <w:r w:rsidRPr="009973B7">
              <w:t>перша</w:t>
            </w:r>
          </w:p>
          <w:p w:rsidR="0050219C" w:rsidRPr="009973B7" w:rsidRDefault="0050219C" w:rsidP="00E23599">
            <w:pPr>
              <w:autoSpaceDE w:val="0"/>
              <w:autoSpaceDN w:val="0"/>
              <w:adjustRightInd w:val="0"/>
              <w:ind w:right="-1"/>
              <w:jc w:val="center"/>
            </w:pPr>
            <w:r w:rsidRPr="009973B7">
              <w:t>друга</w:t>
            </w:r>
          </w:p>
        </w:tc>
        <w:tc>
          <w:tcPr>
            <w:tcW w:w="1111" w:type="dxa"/>
            <w:shd w:val="clear" w:color="auto" w:fill="auto"/>
          </w:tcPr>
          <w:p w:rsidR="0050219C" w:rsidRPr="009973B7" w:rsidRDefault="0050219C" w:rsidP="00E23599">
            <w:pPr>
              <w:autoSpaceDE w:val="0"/>
              <w:autoSpaceDN w:val="0"/>
              <w:adjustRightInd w:val="0"/>
              <w:ind w:right="-1"/>
              <w:jc w:val="center"/>
            </w:pPr>
            <w:r w:rsidRPr="009973B7">
              <w:t>30</w:t>
            </w:r>
          </w:p>
          <w:p w:rsidR="0050219C" w:rsidRPr="009973B7" w:rsidRDefault="0050219C" w:rsidP="00E23599">
            <w:pPr>
              <w:autoSpaceDE w:val="0"/>
              <w:autoSpaceDN w:val="0"/>
              <w:adjustRightInd w:val="0"/>
              <w:ind w:right="-1"/>
              <w:jc w:val="center"/>
            </w:pPr>
            <w:r w:rsidRPr="009973B7">
              <w:t>30</w:t>
            </w:r>
          </w:p>
        </w:tc>
        <w:tc>
          <w:tcPr>
            <w:tcW w:w="1244" w:type="dxa"/>
            <w:shd w:val="clear" w:color="auto" w:fill="auto"/>
          </w:tcPr>
          <w:p w:rsidR="0050219C" w:rsidRPr="009973B7" w:rsidRDefault="0050219C" w:rsidP="00E23599">
            <w:pPr>
              <w:autoSpaceDE w:val="0"/>
              <w:autoSpaceDN w:val="0"/>
              <w:adjustRightInd w:val="0"/>
              <w:ind w:right="-1"/>
              <w:jc w:val="center"/>
            </w:pPr>
            <w:r w:rsidRPr="009973B7">
              <w:t>30</w:t>
            </w:r>
          </w:p>
          <w:p w:rsidR="0050219C" w:rsidRPr="009973B7" w:rsidRDefault="0050219C" w:rsidP="00E23599">
            <w:pPr>
              <w:autoSpaceDE w:val="0"/>
              <w:autoSpaceDN w:val="0"/>
              <w:adjustRightInd w:val="0"/>
              <w:ind w:right="-1"/>
              <w:jc w:val="center"/>
            </w:pPr>
            <w:r w:rsidRPr="009973B7">
              <w:t>60</w:t>
            </w:r>
          </w:p>
        </w:tc>
        <w:tc>
          <w:tcPr>
            <w:tcW w:w="1403" w:type="dxa"/>
            <w:shd w:val="clear" w:color="auto" w:fill="auto"/>
          </w:tcPr>
          <w:p w:rsidR="0050219C" w:rsidRPr="009973B7" w:rsidRDefault="0050219C" w:rsidP="00E23599">
            <w:pPr>
              <w:autoSpaceDE w:val="0"/>
              <w:autoSpaceDN w:val="0"/>
              <w:adjustRightInd w:val="0"/>
              <w:ind w:right="-1"/>
              <w:jc w:val="center"/>
            </w:pPr>
            <w:r w:rsidRPr="009973B7">
              <w:t>1</w:t>
            </w:r>
          </w:p>
          <w:p w:rsidR="0050219C" w:rsidRPr="009973B7" w:rsidRDefault="0050219C" w:rsidP="00E23599">
            <w:pPr>
              <w:autoSpaceDE w:val="0"/>
              <w:autoSpaceDN w:val="0"/>
              <w:adjustRightInd w:val="0"/>
              <w:ind w:right="-1"/>
              <w:jc w:val="center"/>
            </w:pPr>
            <w:r w:rsidRPr="009973B7">
              <w:t>4</w:t>
            </w:r>
          </w:p>
        </w:tc>
        <w:tc>
          <w:tcPr>
            <w:tcW w:w="1658" w:type="dxa"/>
            <w:shd w:val="clear" w:color="auto" w:fill="auto"/>
          </w:tcPr>
          <w:p w:rsidR="0050219C" w:rsidRPr="009973B7" w:rsidRDefault="0050219C" w:rsidP="00E23599">
            <w:pPr>
              <w:autoSpaceDE w:val="0"/>
              <w:autoSpaceDN w:val="0"/>
              <w:adjustRightInd w:val="0"/>
              <w:ind w:right="-1"/>
              <w:jc w:val="center"/>
            </w:pPr>
            <w:r w:rsidRPr="009973B7">
              <w:t>3</w:t>
            </w:r>
          </w:p>
          <w:p w:rsidR="0050219C" w:rsidRPr="009973B7" w:rsidRDefault="0050219C" w:rsidP="00E23599">
            <w:pPr>
              <w:autoSpaceDE w:val="0"/>
              <w:autoSpaceDN w:val="0"/>
              <w:adjustRightInd w:val="0"/>
              <w:ind w:right="-1"/>
              <w:jc w:val="center"/>
            </w:pPr>
            <w:r w:rsidRPr="009973B7">
              <w:t>5</w:t>
            </w:r>
          </w:p>
        </w:tc>
      </w:tr>
      <w:tr w:rsidR="0050219C" w:rsidRPr="009973B7" w:rsidTr="00E23599">
        <w:tc>
          <w:tcPr>
            <w:tcW w:w="2160" w:type="dxa"/>
            <w:shd w:val="clear" w:color="auto" w:fill="auto"/>
          </w:tcPr>
          <w:p w:rsidR="0050219C" w:rsidRPr="009973B7" w:rsidRDefault="0050219C" w:rsidP="00E23599">
            <w:pPr>
              <w:autoSpaceDE w:val="0"/>
              <w:autoSpaceDN w:val="0"/>
              <w:adjustRightInd w:val="0"/>
              <w:ind w:right="-1"/>
            </w:pPr>
            <w:r w:rsidRPr="009973B7">
              <w:t>Від 501 до 3200</w:t>
            </w:r>
          </w:p>
        </w:tc>
        <w:tc>
          <w:tcPr>
            <w:tcW w:w="1620" w:type="dxa"/>
            <w:shd w:val="clear" w:color="auto" w:fill="auto"/>
          </w:tcPr>
          <w:p w:rsidR="0050219C" w:rsidRPr="009973B7" w:rsidRDefault="0050219C" w:rsidP="00E23599">
            <w:pPr>
              <w:autoSpaceDE w:val="0"/>
              <w:autoSpaceDN w:val="0"/>
              <w:adjustRightInd w:val="0"/>
              <w:ind w:right="-1"/>
              <w:jc w:val="center"/>
            </w:pPr>
            <w:r w:rsidRPr="009973B7">
              <w:t>перша</w:t>
            </w:r>
          </w:p>
          <w:p w:rsidR="0050219C" w:rsidRPr="009973B7" w:rsidRDefault="0050219C" w:rsidP="00E23599">
            <w:pPr>
              <w:autoSpaceDE w:val="0"/>
              <w:autoSpaceDN w:val="0"/>
              <w:adjustRightInd w:val="0"/>
              <w:ind w:right="-1"/>
              <w:jc w:val="center"/>
            </w:pPr>
            <w:r w:rsidRPr="009973B7">
              <w:t>друга</w:t>
            </w:r>
          </w:p>
        </w:tc>
        <w:tc>
          <w:tcPr>
            <w:tcW w:w="1111" w:type="dxa"/>
            <w:shd w:val="clear" w:color="auto" w:fill="auto"/>
          </w:tcPr>
          <w:p w:rsidR="0050219C" w:rsidRPr="009973B7" w:rsidRDefault="0050219C" w:rsidP="00E23599">
            <w:pPr>
              <w:autoSpaceDE w:val="0"/>
              <w:autoSpaceDN w:val="0"/>
              <w:adjustRightInd w:val="0"/>
              <w:ind w:right="-1"/>
              <w:jc w:val="center"/>
            </w:pPr>
            <w:r w:rsidRPr="009973B7">
              <w:t>50</w:t>
            </w:r>
          </w:p>
          <w:p w:rsidR="0050219C" w:rsidRPr="009973B7" w:rsidRDefault="0050219C" w:rsidP="00E23599">
            <w:pPr>
              <w:autoSpaceDE w:val="0"/>
              <w:autoSpaceDN w:val="0"/>
              <w:adjustRightInd w:val="0"/>
              <w:ind w:right="-1"/>
              <w:jc w:val="center"/>
            </w:pPr>
            <w:r w:rsidRPr="009973B7">
              <w:t>50</w:t>
            </w:r>
          </w:p>
        </w:tc>
        <w:tc>
          <w:tcPr>
            <w:tcW w:w="1244" w:type="dxa"/>
            <w:shd w:val="clear" w:color="auto" w:fill="auto"/>
          </w:tcPr>
          <w:p w:rsidR="0050219C" w:rsidRPr="009973B7" w:rsidRDefault="0050219C" w:rsidP="00E23599">
            <w:pPr>
              <w:autoSpaceDE w:val="0"/>
              <w:autoSpaceDN w:val="0"/>
              <w:adjustRightInd w:val="0"/>
              <w:ind w:right="-1"/>
              <w:jc w:val="center"/>
            </w:pPr>
            <w:r w:rsidRPr="009973B7">
              <w:t>50</w:t>
            </w:r>
          </w:p>
          <w:p w:rsidR="0050219C" w:rsidRPr="009973B7" w:rsidRDefault="0050219C" w:rsidP="00E23599">
            <w:pPr>
              <w:autoSpaceDE w:val="0"/>
              <w:autoSpaceDN w:val="0"/>
              <w:adjustRightInd w:val="0"/>
              <w:ind w:right="-1"/>
              <w:jc w:val="center"/>
            </w:pPr>
            <w:r w:rsidRPr="009973B7">
              <w:t>100</w:t>
            </w:r>
          </w:p>
        </w:tc>
        <w:tc>
          <w:tcPr>
            <w:tcW w:w="1403" w:type="dxa"/>
            <w:shd w:val="clear" w:color="auto" w:fill="auto"/>
          </w:tcPr>
          <w:p w:rsidR="0050219C" w:rsidRPr="009973B7" w:rsidRDefault="0050219C" w:rsidP="00E23599">
            <w:pPr>
              <w:autoSpaceDE w:val="0"/>
              <w:autoSpaceDN w:val="0"/>
              <w:adjustRightInd w:val="0"/>
              <w:ind w:right="-1"/>
              <w:jc w:val="center"/>
            </w:pPr>
            <w:r w:rsidRPr="009973B7">
              <w:t>2</w:t>
            </w:r>
          </w:p>
          <w:p w:rsidR="0050219C" w:rsidRPr="009973B7" w:rsidRDefault="0050219C" w:rsidP="00E23599">
            <w:pPr>
              <w:autoSpaceDE w:val="0"/>
              <w:autoSpaceDN w:val="0"/>
              <w:adjustRightInd w:val="0"/>
              <w:ind w:right="-1"/>
              <w:jc w:val="center"/>
            </w:pPr>
            <w:r w:rsidRPr="009973B7">
              <w:t>6</w:t>
            </w:r>
          </w:p>
        </w:tc>
        <w:tc>
          <w:tcPr>
            <w:tcW w:w="1658" w:type="dxa"/>
            <w:shd w:val="clear" w:color="auto" w:fill="auto"/>
          </w:tcPr>
          <w:p w:rsidR="0050219C" w:rsidRPr="009973B7" w:rsidRDefault="0050219C" w:rsidP="00E23599">
            <w:pPr>
              <w:autoSpaceDE w:val="0"/>
              <w:autoSpaceDN w:val="0"/>
              <w:adjustRightInd w:val="0"/>
              <w:ind w:right="-1"/>
              <w:jc w:val="center"/>
            </w:pPr>
            <w:r w:rsidRPr="009973B7">
              <w:t>5</w:t>
            </w:r>
          </w:p>
          <w:p w:rsidR="0050219C" w:rsidRPr="009973B7" w:rsidRDefault="0050219C" w:rsidP="00E23599">
            <w:pPr>
              <w:autoSpaceDE w:val="0"/>
              <w:autoSpaceDN w:val="0"/>
              <w:adjustRightInd w:val="0"/>
              <w:ind w:right="-1"/>
              <w:jc w:val="center"/>
            </w:pPr>
            <w:r w:rsidRPr="009973B7">
              <w:t>7</w:t>
            </w:r>
          </w:p>
        </w:tc>
      </w:tr>
      <w:tr w:rsidR="0050219C" w:rsidRPr="009973B7" w:rsidTr="00E23599">
        <w:tc>
          <w:tcPr>
            <w:tcW w:w="2160" w:type="dxa"/>
            <w:shd w:val="clear" w:color="auto" w:fill="auto"/>
          </w:tcPr>
          <w:p w:rsidR="0050219C" w:rsidRPr="009973B7" w:rsidRDefault="0050219C" w:rsidP="00E23599">
            <w:pPr>
              <w:autoSpaceDE w:val="0"/>
              <w:autoSpaceDN w:val="0"/>
              <w:adjustRightInd w:val="0"/>
              <w:ind w:right="-1"/>
            </w:pPr>
            <w:r w:rsidRPr="009973B7">
              <w:t>Від 3201 та більше</w:t>
            </w:r>
          </w:p>
        </w:tc>
        <w:tc>
          <w:tcPr>
            <w:tcW w:w="1620" w:type="dxa"/>
            <w:shd w:val="clear" w:color="auto" w:fill="auto"/>
          </w:tcPr>
          <w:p w:rsidR="0050219C" w:rsidRPr="009973B7" w:rsidRDefault="0050219C" w:rsidP="00E23599">
            <w:pPr>
              <w:autoSpaceDE w:val="0"/>
              <w:autoSpaceDN w:val="0"/>
              <w:adjustRightInd w:val="0"/>
              <w:ind w:right="-1"/>
              <w:jc w:val="center"/>
            </w:pPr>
            <w:r w:rsidRPr="009973B7">
              <w:t>перша</w:t>
            </w:r>
          </w:p>
          <w:p w:rsidR="0050219C" w:rsidRPr="009973B7" w:rsidRDefault="0050219C" w:rsidP="00E23599">
            <w:pPr>
              <w:autoSpaceDE w:val="0"/>
              <w:autoSpaceDN w:val="0"/>
              <w:adjustRightInd w:val="0"/>
              <w:ind w:right="-1"/>
              <w:jc w:val="center"/>
            </w:pPr>
            <w:r w:rsidRPr="009973B7">
              <w:t>друга</w:t>
            </w:r>
          </w:p>
        </w:tc>
        <w:tc>
          <w:tcPr>
            <w:tcW w:w="1111" w:type="dxa"/>
            <w:shd w:val="clear" w:color="auto" w:fill="auto"/>
          </w:tcPr>
          <w:p w:rsidR="0050219C" w:rsidRPr="009973B7" w:rsidRDefault="0050219C" w:rsidP="00E23599">
            <w:pPr>
              <w:autoSpaceDE w:val="0"/>
              <w:autoSpaceDN w:val="0"/>
              <w:adjustRightInd w:val="0"/>
              <w:ind w:right="-1"/>
              <w:jc w:val="center"/>
            </w:pPr>
            <w:r w:rsidRPr="009973B7">
              <w:t>80</w:t>
            </w:r>
          </w:p>
          <w:p w:rsidR="0050219C" w:rsidRPr="009973B7" w:rsidRDefault="0050219C" w:rsidP="00E23599">
            <w:pPr>
              <w:autoSpaceDE w:val="0"/>
              <w:autoSpaceDN w:val="0"/>
              <w:adjustRightInd w:val="0"/>
              <w:ind w:right="-1"/>
              <w:jc w:val="center"/>
            </w:pPr>
            <w:r w:rsidRPr="009973B7">
              <w:t>80</w:t>
            </w:r>
          </w:p>
        </w:tc>
        <w:tc>
          <w:tcPr>
            <w:tcW w:w="1244" w:type="dxa"/>
            <w:shd w:val="clear" w:color="auto" w:fill="auto"/>
          </w:tcPr>
          <w:p w:rsidR="0050219C" w:rsidRPr="009973B7" w:rsidRDefault="0050219C" w:rsidP="00E23599">
            <w:pPr>
              <w:autoSpaceDE w:val="0"/>
              <w:autoSpaceDN w:val="0"/>
              <w:adjustRightInd w:val="0"/>
              <w:ind w:right="-1"/>
              <w:jc w:val="center"/>
            </w:pPr>
            <w:r w:rsidRPr="009973B7">
              <w:t>80</w:t>
            </w:r>
          </w:p>
          <w:p w:rsidR="0050219C" w:rsidRPr="009973B7" w:rsidRDefault="0050219C" w:rsidP="00E23599">
            <w:pPr>
              <w:autoSpaceDE w:val="0"/>
              <w:autoSpaceDN w:val="0"/>
              <w:adjustRightInd w:val="0"/>
              <w:ind w:right="-1"/>
              <w:jc w:val="center"/>
            </w:pPr>
            <w:r w:rsidRPr="009973B7">
              <w:t>160</w:t>
            </w:r>
          </w:p>
        </w:tc>
        <w:tc>
          <w:tcPr>
            <w:tcW w:w="1403" w:type="dxa"/>
            <w:shd w:val="clear" w:color="auto" w:fill="auto"/>
          </w:tcPr>
          <w:p w:rsidR="0050219C" w:rsidRPr="009973B7" w:rsidRDefault="0050219C" w:rsidP="00E23599">
            <w:pPr>
              <w:autoSpaceDE w:val="0"/>
              <w:autoSpaceDN w:val="0"/>
              <w:adjustRightInd w:val="0"/>
              <w:ind w:right="-1"/>
              <w:jc w:val="center"/>
            </w:pPr>
            <w:r w:rsidRPr="009973B7">
              <w:t>3</w:t>
            </w:r>
          </w:p>
          <w:p w:rsidR="0050219C" w:rsidRPr="009973B7" w:rsidRDefault="0050219C" w:rsidP="00E23599">
            <w:pPr>
              <w:autoSpaceDE w:val="0"/>
              <w:autoSpaceDN w:val="0"/>
              <w:adjustRightInd w:val="0"/>
              <w:ind w:right="-1"/>
              <w:jc w:val="center"/>
            </w:pPr>
            <w:r w:rsidRPr="009973B7">
              <w:t>8</w:t>
            </w:r>
          </w:p>
        </w:tc>
        <w:tc>
          <w:tcPr>
            <w:tcW w:w="1658" w:type="dxa"/>
            <w:shd w:val="clear" w:color="auto" w:fill="auto"/>
          </w:tcPr>
          <w:p w:rsidR="0050219C" w:rsidRPr="009973B7" w:rsidRDefault="0050219C" w:rsidP="00E23599">
            <w:pPr>
              <w:autoSpaceDE w:val="0"/>
              <w:autoSpaceDN w:val="0"/>
              <w:adjustRightInd w:val="0"/>
              <w:ind w:right="-1"/>
              <w:jc w:val="center"/>
            </w:pPr>
            <w:r w:rsidRPr="009973B7">
              <w:t>7</w:t>
            </w:r>
          </w:p>
          <w:p w:rsidR="0050219C" w:rsidRPr="009973B7" w:rsidRDefault="0050219C" w:rsidP="00E23599">
            <w:pPr>
              <w:autoSpaceDE w:val="0"/>
              <w:autoSpaceDN w:val="0"/>
              <w:adjustRightInd w:val="0"/>
              <w:ind w:right="-1"/>
              <w:jc w:val="center"/>
            </w:pPr>
            <w:r w:rsidRPr="009973B7">
              <w:t>9</w:t>
            </w:r>
          </w:p>
        </w:tc>
      </w:tr>
    </w:tbl>
    <w:p w:rsidR="0050219C" w:rsidRPr="009973B7" w:rsidRDefault="0050219C" w:rsidP="0050219C">
      <w:pPr>
        <w:jc w:val="center"/>
        <w:rPr>
          <w:b/>
        </w:rPr>
      </w:pPr>
    </w:p>
    <w:p w:rsidR="0050219C" w:rsidRPr="009973B7" w:rsidRDefault="0050219C" w:rsidP="0050219C">
      <w:pPr>
        <w:jc w:val="center"/>
        <w:rPr>
          <w:b/>
        </w:rPr>
      </w:pPr>
      <w:r w:rsidRPr="009973B7">
        <w:rPr>
          <w:b/>
        </w:rPr>
        <w:t>Руйнівний контроль</w:t>
      </w:r>
    </w:p>
    <w:p w:rsidR="0050219C" w:rsidRPr="009973B7" w:rsidRDefault="0050219C" w:rsidP="0050219C">
      <w:pPr>
        <w:jc w:val="center"/>
        <w:rPr>
          <w:b/>
        </w:rPr>
      </w:pPr>
    </w:p>
    <w:p w:rsidR="0050219C" w:rsidRPr="009973B7" w:rsidRDefault="0050219C" w:rsidP="0050219C">
      <w:pPr>
        <w:spacing w:line="360" w:lineRule="auto"/>
        <w:ind w:firstLine="567"/>
        <w:jc w:val="both"/>
      </w:pPr>
      <w:r w:rsidRPr="009973B7">
        <w:lastRenderedPageBreak/>
        <w:t>10. Руйнівний контроль проводять згідно з планом одинарного вибіркового контролю, зазначеним у таблиці 2 цього додатка, та використовують лише для партій, що становлять 100 або більше одиниць.</w:t>
      </w:r>
    </w:p>
    <w:p w:rsidR="0050219C" w:rsidRPr="009973B7" w:rsidRDefault="0050219C" w:rsidP="0050219C">
      <w:pPr>
        <w:spacing w:line="360" w:lineRule="auto"/>
        <w:ind w:firstLine="567"/>
        <w:jc w:val="both"/>
      </w:pPr>
      <w:r w:rsidRPr="009973B7">
        <w:t>Кількість упакованих одиниць, які підлягають перевірці, дорівнює 20.</w:t>
      </w:r>
    </w:p>
    <w:p w:rsidR="0050219C" w:rsidRPr="009973B7" w:rsidRDefault="0050219C" w:rsidP="0050219C">
      <w:pPr>
        <w:spacing w:line="360" w:lineRule="auto"/>
        <w:ind w:firstLine="567"/>
        <w:jc w:val="both"/>
      </w:pPr>
      <w:r w:rsidRPr="009973B7">
        <w:t>Якщо кількість невідповідних одиниць, виявлених у вибірці, є меншою або дорівнює критерію прийняття, партію упакованих одиниць уважають прийнятною.</w:t>
      </w:r>
    </w:p>
    <w:p w:rsidR="0050219C" w:rsidRPr="009973B7" w:rsidRDefault="0050219C" w:rsidP="0050219C">
      <w:pPr>
        <w:spacing w:line="360" w:lineRule="auto"/>
        <w:ind w:firstLine="567"/>
        <w:jc w:val="both"/>
      </w:pPr>
      <w:r w:rsidRPr="009973B7">
        <w:t>Якщо кількість невідповідних одиниць, виявлених у вибірці, дорівнює або є більшою за критерій неприйняття, партію упакованих одиниць бракують.</w:t>
      </w:r>
    </w:p>
    <w:p w:rsidR="0050219C" w:rsidRPr="009973B7" w:rsidRDefault="0050219C" w:rsidP="0050219C">
      <w:pPr>
        <w:spacing w:line="360" w:lineRule="auto"/>
        <w:ind w:firstLine="567"/>
        <w:jc w:val="right"/>
      </w:pPr>
      <w:r w:rsidRPr="009973B7">
        <w:t>Таблиця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2520"/>
        <w:gridCol w:w="2880"/>
      </w:tblGrid>
      <w:tr w:rsidR="0050219C" w:rsidRPr="009973B7" w:rsidTr="00E23599">
        <w:trPr>
          <w:trHeight w:val="166"/>
        </w:trPr>
        <w:tc>
          <w:tcPr>
            <w:tcW w:w="2340" w:type="dxa"/>
            <w:vMerge w:val="restart"/>
            <w:shd w:val="clear" w:color="auto" w:fill="auto"/>
          </w:tcPr>
          <w:p w:rsidR="0050219C" w:rsidRPr="009973B7" w:rsidRDefault="0050219C" w:rsidP="00E23599">
            <w:pPr>
              <w:autoSpaceDE w:val="0"/>
              <w:autoSpaceDN w:val="0"/>
              <w:adjustRightInd w:val="0"/>
              <w:ind w:right="-1"/>
              <w:jc w:val="center"/>
            </w:pPr>
            <w:r w:rsidRPr="009973B7">
              <w:t>Кількість у партії</w:t>
            </w:r>
          </w:p>
        </w:tc>
        <w:tc>
          <w:tcPr>
            <w:tcW w:w="1440" w:type="dxa"/>
            <w:vMerge w:val="restart"/>
            <w:shd w:val="clear" w:color="auto" w:fill="auto"/>
          </w:tcPr>
          <w:p w:rsidR="0050219C" w:rsidRPr="009973B7" w:rsidRDefault="0050219C" w:rsidP="00E23599">
            <w:pPr>
              <w:autoSpaceDE w:val="0"/>
              <w:autoSpaceDN w:val="0"/>
              <w:adjustRightInd w:val="0"/>
              <w:ind w:right="34"/>
              <w:jc w:val="center"/>
            </w:pPr>
            <w:r w:rsidRPr="009973B7">
              <w:t>Кількість у вибірці</w:t>
            </w:r>
          </w:p>
        </w:tc>
        <w:tc>
          <w:tcPr>
            <w:tcW w:w="5400" w:type="dxa"/>
            <w:gridSpan w:val="2"/>
            <w:shd w:val="clear" w:color="auto" w:fill="auto"/>
          </w:tcPr>
          <w:p w:rsidR="0050219C" w:rsidRPr="009973B7" w:rsidRDefault="0050219C" w:rsidP="00E23599">
            <w:pPr>
              <w:autoSpaceDE w:val="0"/>
              <w:autoSpaceDN w:val="0"/>
              <w:adjustRightInd w:val="0"/>
              <w:ind w:right="34"/>
              <w:jc w:val="center"/>
            </w:pPr>
            <w:r w:rsidRPr="009973B7">
              <w:t>Кількість невідповідних одиниць</w:t>
            </w:r>
          </w:p>
        </w:tc>
      </w:tr>
      <w:tr w:rsidR="0050219C" w:rsidRPr="009973B7" w:rsidTr="00E23599">
        <w:trPr>
          <w:trHeight w:val="166"/>
        </w:trPr>
        <w:tc>
          <w:tcPr>
            <w:tcW w:w="2340" w:type="dxa"/>
            <w:vMerge/>
            <w:shd w:val="clear" w:color="auto" w:fill="auto"/>
          </w:tcPr>
          <w:p w:rsidR="0050219C" w:rsidRPr="009973B7" w:rsidRDefault="0050219C" w:rsidP="00E23599">
            <w:pPr>
              <w:autoSpaceDE w:val="0"/>
              <w:autoSpaceDN w:val="0"/>
              <w:adjustRightInd w:val="0"/>
              <w:ind w:right="-1"/>
              <w:jc w:val="center"/>
            </w:pPr>
          </w:p>
        </w:tc>
        <w:tc>
          <w:tcPr>
            <w:tcW w:w="1440" w:type="dxa"/>
            <w:vMerge/>
            <w:shd w:val="clear" w:color="auto" w:fill="auto"/>
          </w:tcPr>
          <w:p w:rsidR="0050219C" w:rsidRPr="009973B7" w:rsidRDefault="0050219C" w:rsidP="00E23599">
            <w:pPr>
              <w:autoSpaceDE w:val="0"/>
              <w:autoSpaceDN w:val="0"/>
              <w:adjustRightInd w:val="0"/>
              <w:ind w:right="34"/>
              <w:jc w:val="center"/>
            </w:pPr>
          </w:p>
        </w:tc>
        <w:tc>
          <w:tcPr>
            <w:tcW w:w="2520" w:type="dxa"/>
            <w:shd w:val="clear" w:color="auto" w:fill="auto"/>
          </w:tcPr>
          <w:p w:rsidR="0050219C" w:rsidRPr="009973B7" w:rsidRDefault="0050219C" w:rsidP="00E23599">
            <w:pPr>
              <w:autoSpaceDE w:val="0"/>
              <w:autoSpaceDN w:val="0"/>
              <w:adjustRightInd w:val="0"/>
              <w:ind w:right="34"/>
              <w:jc w:val="center"/>
            </w:pPr>
            <w:r w:rsidRPr="009973B7">
              <w:t>критерій прийняття</w:t>
            </w:r>
          </w:p>
        </w:tc>
        <w:tc>
          <w:tcPr>
            <w:tcW w:w="2880" w:type="dxa"/>
            <w:shd w:val="clear" w:color="auto" w:fill="auto"/>
          </w:tcPr>
          <w:p w:rsidR="0050219C" w:rsidRPr="009973B7" w:rsidRDefault="0050219C" w:rsidP="00E23599">
            <w:pPr>
              <w:autoSpaceDE w:val="0"/>
              <w:autoSpaceDN w:val="0"/>
              <w:adjustRightInd w:val="0"/>
              <w:ind w:right="34"/>
              <w:jc w:val="center"/>
            </w:pPr>
            <w:r w:rsidRPr="009973B7">
              <w:t>критерій неприйняття</w:t>
            </w:r>
          </w:p>
        </w:tc>
      </w:tr>
      <w:tr w:rsidR="0050219C" w:rsidRPr="009973B7" w:rsidTr="00E23599">
        <w:tc>
          <w:tcPr>
            <w:tcW w:w="2340" w:type="dxa"/>
            <w:shd w:val="clear" w:color="auto" w:fill="auto"/>
          </w:tcPr>
          <w:p w:rsidR="0050219C" w:rsidRPr="009973B7" w:rsidRDefault="0050219C" w:rsidP="00E23599">
            <w:pPr>
              <w:autoSpaceDE w:val="0"/>
              <w:autoSpaceDN w:val="0"/>
              <w:adjustRightInd w:val="0"/>
              <w:ind w:right="-1"/>
            </w:pPr>
            <w:r w:rsidRPr="009973B7">
              <w:t>Будь-яка (≥ 100)</w:t>
            </w:r>
          </w:p>
        </w:tc>
        <w:tc>
          <w:tcPr>
            <w:tcW w:w="1440" w:type="dxa"/>
            <w:shd w:val="clear" w:color="auto" w:fill="auto"/>
          </w:tcPr>
          <w:p w:rsidR="0050219C" w:rsidRPr="009973B7" w:rsidRDefault="0050219C" w:rsidP="00E23599">
            <w:pPr>
              <w:autoSpaceDE w:val="0"/>
              <w:autoSpaceDN w:val="0"/>
              <w:adjustRightInd w:val="0"/>
              <w:ind w:right="34"/>
              <w:jc w:val="center"/>
            </w:pPr>
            <w:r w:rsidRPr="009973B7">
              <w:t>20</w:t>
            </w:r>
          </w:p>
        </w:tc>
        <w:tc>
          <w:tcPr>
            <w:tcW w:w="2520" w:type="dxa"/>
            <w:shd w:val="clear" w:color="auto" w:fill="auto"/>
          </w:tcPr>
          <w:p w:rsidR="0050219C" w:rsidRPr="009973B7" w:rsidRDefault="0050219C" w:rsidP="00E23599">
            <w:pPr>
              <w:autoSpaceDE w:val="0"/>
              <w:autoSpaceDN w:val="0"/>
              <w:adjustRightInd w:val="0"/>
              <w:ind w:right="34"/>
              <w:jc w:val="center"/>
            </w:pPr>
            <w:r w:rsidRPr="009973B7">
              <w:t>1</w:t>
            </w:r>
          </w:p>
        </w:tc>
        <w:tc>
          <w:tcPr>
            <w:tcW w:w="2880" w:type="dxa"/>
            <w:shd w:val="clear" w:color="auto" w:fill="auto"/>
          </w:tcPr>
          <w:p w:rsidR="0050219C" w:rsidRPr="009973B7" w:rsidRDefault="0050219C" w:rsidP="00E23599">
            <w:pPr>
              <w:autoSpaceDE w:val="0"/>
              <w:autoSpaceDN w:val="0"/>
              <w:adjustRightInd w:val="0"/>
              <w:ind w:right="34"/>
              <w:jc w:val="center"/>
            </w:pPr>
            <w:r w:rsidRPr="009973B7">
              <w:t>2</w:t>
            </w:r>
          </w:p>
        </w:tc>
      </w:tr>
    </w:tbl>
    <w:p w:rsidR="0050219C" w:rsidRPr="009973B7" w:rsidRDefault="0050219C" w:rsidP="0050219C">
      <w:pPr>
        <w:jc w:val="right"/>
      </w:pPr>
    </w:p>
    <w:p w:rsidR="0050219C" w:rsidRPr="009973B7" w:rsidRDefault="0050219C" w:rsidP="0050219C">
      <w:pPr>
        <w:jc w:val="center"/>
        <w:rPr>
          <w:b/>
        </w:rPr>
      </w:pPr>
      <w:r w:rsidRPr="009973B7">
        <w:rPr>
          <w:b/>
        </w:rPr>
        <w:t xml:space="preserve">Перевірка середнього значення фактичного вмісту окремих </w:t>
      </w:r>
    </w:p>
    <w:p w:rsidR="0050219C" w:rsidRPr="009973B7" w:rsidRDefault="0050219C" w:rsidP="0050219C">
      <w:pPr>
        <w:jc w:val="center"/>
        <w:rPr>
          <w:b/>
        </w:rPr>
      </w:pPr>
      <w:r w:rsidRPr="009973B7">
        <w:rPr>
          <w:b/>
        </w:rPr>
        <w:t>упакованих одиниць, що складають партію</w:t>
      </w:r>
    </w:p>
    <w:p w:rsidR="0050219C" w:rsidRPr="009973B7" w:rsidRDefault="0050219C" w:rsidP="0050219C">
      <w:pPr>
        <w:jc w:val="center"/>
        <w:rPr>
          <w:b/>
        </w:rPr>
      </w:pPr>
    </w:p>
    <w:p w:rsidR="0050219C" w:rsidRPr="009973B7" w:rsidRDefault="0050219C" w:rsidP="0050219C">
      <w:pPr>
        <w:spacing w:line="360" w:lineRule="auto"/>
        <w:ind w:firstLine="567"/>
        <w:jc w:val="both"/>
      </w:pPr>
      <w:r w:rsidRPr="009973B7">
        <w:t xml:space="preserve">11. Партію упакованих одиниць уважають прийнятною для цілей цієї перевірки, якщо середнє значення </w:t>
      </w:r>
      <w:r w:rsidRPr="009973B7">
        <w:rPr>
          <w:position w:val="-24"/>
        </w:rPr>
        <w:object w:dxaOrig="999" w:dyaOrig="680">
          <v:shape id="_x0000_i1026" type="#_x0000_t75" style="width:57pt;height:39pt" o:ole="">
            <v:imagedata r:id="rId13" o:title=""/>
          </v:shape>
          <o:OLEObject Type="Embed" ProgID="Equation.3" ShapeID="_x0000_i1026" DrawAspect="Content" ObjectID="_1484125420" r:id="rId14"/>
        </w:object>
      </w:r>
      <w:r w:rsidRPr="009973B7">
        <w:t xml:space="preserve"> фактичного вмісту </w:t>
      </w:r>
      <w:proofErr w:type="spellStart"/>
      <w:r w:rsidRPr="009973B7">
        <w:t>х</w:t>
      </w:r>
      <w:r w:rsidRPr="009973B7">
        <w:rPr>
          <w:vertAlign w:val="subscript"/>
        </w:rPr>
        <w:t>і</w:t>
      </w:r>
      <w:proofErr w:type="spellEnd"/>
      <w:r w:rsidRPr="009973B7">
        <w:t xml:space="preserve"> n упакованих одиниць у вибірці є більшим за значення:</w:t>
      </w:r>
    </w:p>
    <w:p w:rsidR="0050219C" w:rsidRPr="009973B7" w:rsidRDefault="0050219C" w:rsidP="0050219C">
      <w:pPr>
        <w:spacing w:line="360" w:lineRule="auto"/>
        <w:ind w:firstLine="567"/>
        <w:jc w:val="both"/>
      </w:pPr>
    </w:p>
    <w:p w:rsidR="0050219C" w:rsidRPr="009973B7" w:rsidRDefault="0050219C" w:rsidP="0050219C">
      <w:pPr>
        <w:jc w:val="right"/>
      </w:pPr>
      <w:r w:rsidRPr="009973B7">
        <w:t>Продовження додатка 3</w:t>
      </w:r>
    </w:p>
    <w:p w:rsidR="0050219C" w:rsidRPr="009973B7" w:rsidRDefault="0050219C" w:rsidP="0050219C">
      <w:pPr>
        <w:spacing w:line="360" w:lineRule="auto"/>
        <w:ind w:firstLine="567"/>
        <w:jc w:val="both"/>
      </w:pPr>
      <w:r w:rsidRPr="009973B7">
        <w:rPr>
          <w:position w:val="-24"/>
        </w:rPr>
        <w:object w:dxaOrig="1380" w:dyaOrig="560">
          <v:shape id="_x0000_i1027" type="#_x0000_t75" style="width:111.75pt;height:45pt" o:ole="">
            <v:imagedata r:id="rId15" o:title=""/>
          </v:shape>
          <o:OLEObject Type="Embed" ProgID="Equation.3" ShapeID="_x0000_i1027" DrawAspect="Content" ObjectID="_1484125421" r:id="rId16"/>
        </w:object>
      </w:r>
      <w:r w:rsidRPr="009973B7">
        <w:t>,</w:t>
      </w:r>
    </w:p>
    <w:p w:rsidR="0050219C" w:rsidRPr="009973B7" w:rsidRDefault="0050219C" w:rsidP="0050219C">
      <w:pPr>
        <w:spacing w:line="360" w:lineRule="auto"/>
        <w:ind w:firstLine="567"/>
        <w:jc w:val="both"/>
      </w:pPr>
      <w:r w:rsidRPr="009973B7">
        <w:t xml:space="preserve">де </w:t>
      </w:r>
      <w:proofErr w:type="spellStart"/>
      <w:r w:rsidRPr="009973B7">
        <w:t>Q</w:t>
      </w:r>
      <w:r w:rsidRPr="009973B7">
        <w:rPr>
          <w:vertAlign w:val="subscript"/>
        </w:rPr>
        <w:t>n</w:t>
      </w:r>
      <w:proofErr w:type="spellEnd"/>
      <w:r w:rsidRPr="009973B7">
        <w:t xml:space="preserve"> – номінальна кількість упакованої одиниці;</w:t>
      </w:r>
    </w:p>
    <w:p w:rsidR="0050219C" w:rsidRPr="009973B7" w:rsidRDefault="0050219C" w:rsidP="0050219C">
      <w:pPr>
        <w:spacing w:line="360" w:lineRule="auto"/>
        <w:ind w:firstLine="567"/>
        <w:jc w:val="both"/>
      </w:pPr>
      <w:r w:rsidRPr="009973B7">
        <w:t>n – кількість упакованих одиниць у вибірці для цієї перевірки;</w:t>
      </w:r>
    </w:p>
    <w:p w:rsidR="0050219C" w:rsidRPr="009973B7" w:rsidRDefault="0050219C" w:rsidP="0050219C">
      <w:pPr>
        <w:spacing w:line="360" w:lineRule="auto"/>
        <w:ind w:firstLine="567"/>
        <w:jc w:val="both"/>
      </w:pPr>
      <w:r w:rsidRPr="009973B7">
        <w:t>s – розрахункове стандартне відхилення фактичного вмісту партії;</w:t>
      </w:r>
    </w:p>
    <w:p w:rsidR="0050219C" w:rsidRPr="009973B7" w:rsidRDefault="0050219C" w:rsidP="0050219C">
      <w:pPr>
        <w:spacing w:line="360" w:lineRule="auto"/>
        <w:ind w:left="360"/>
        <w:jc w:val="both"/>
      </w:pPr>
      <w:r w:rsidRPr="009973B7">
        <w:t>t</w:t>
      </w:r>
      <w:r w:rsidRPr="009973B7">
        <w:rPr>
          <w:vertAlign w:val="subscript"/>
        </w:rPr>
        <w:t>(1-</w:t>
      </w:r>
      <w:r w:rsidRPr="009973B7">
        <w:rPr>
          <w:vertAlign w:val="subscript"/>
        </w:rPr>
        <w:sym w:font="Symbol" w:char="F061"/>
      </w:r>
      <w:r w:rsidRPr="009973B7">
        <w:rPr>
          <w:vertAlign w:val="subscript"/>
        </w:rPr>
        <w:t>)</w:t>
      </w:r>
      <w:r w:rsidRPr="009973B7">
        <w:t xml:space="preserve"> – довірчий рівень 0,995 розподілу </w:t>
      </w:r>
      <w:proofErr w:type="spellStart"/>
      <w:r w:rsidRPr="009973B7">
        <w:t>Стьюдента</w:t>
      </w:r>
      <w:proofErr w:type="spellEnd"/>
      <w:r w:rsidRPr="009973B7">
        <w:t xml:space="preserve"> зі ступенем свободи </w:t>
      </w:r>
      <w:r w:rsidRPr="009973B7">
        <w:sym w:font="Symbol" w:char="F06E"/>
      </w:r>
      <w:r w:rsidRPr="009973B7">
        <w:t> = n – 1.</w:t>
      </w:r>
    </w:p>
    <w:p w:rsidR="0050219C" w:rsidRPr="009973B7" w:rsidRDefault="0050219C" w:rsidP="0050219C">
      <w:pPr>
        <w:spacing w:line="360" w:lineRule="auto"/>
        <w:ind w:firstLine="601"/>
        <w:jc w:val="both"/>
      </w:pPr>
      <w:r w:rsidRPr="009973B7">
        <w:t xml:space="preserve">12. Якщо </w:t>
      </w:r>
      <w:proofErr w:type="spellStart"/>
      <w:r w:rsidRPr="009973B7">
        <w:t>х</w:t>
      </w:r>
      <w:r w:rsidRPr="009973B7">
        <w:rPr>
          <w:vertAlign w:val="subscript"/>
        </w:rPr>
        <w:t>і</w:t>
      </w:r>
      <w:proofErr w:type="spellEnd"/>
      <w:r w:rsidRPr="009973B7">
        <w:t xml:space="preserve"> – виміряне значення фактичного вмісту </w:t>
      </w:r>
      <w:proofErr w:type="spellStart"/>
      <w:r w:rsidRPr="009973B7">
        <w:t>і-ої</w:t>
      </w:r>
      <w:proofErr w:type="spellEnd"/>
      <w:r w:rsidRPr="009973B7">
        <w:t xml:space="preserve"> одиниці у вибірці, що містить n одиниць, то середнє значення виміряних значень для вибірки обчислюють за такою формулою:</w:t>
      </w:r>
    </w:p>
    <w:p w:rsidR="0050219C" w:rsidRPr="009973B7" w:rsidRDefault="0050219C" w:rsidP="0050219C">
      <w:pPr>
        <w:spacing w:line="360" w:lineRule="auto"/>
        <w:ind w:firstLine="601"/>
        <w:jc w:val="both"/>
      </w:pPr>
      <w:r w:rsidRPr="009973B7">
        <w:rPr>
          <w:position w:val="-24"/>
        </w:rPr>
        <w:object w:dxaOrig="1040" w:dyaOrig="960">
          <v:shape id="_x0000_i1028" type="#_x0000_t75" style="width:62.25pt;height:57.75pt" o:ole="">
            <v:imagedata r:id="rId17" o:title=""/>
          </v:shape>
          <o:OLEObject Type="Embed" ProgID="Equation.3" ShapeID="_x0000_i1028" DrawAspect="Content" ObjectID="_1484125422" r:id="rId18"/>
        </w:object>
      </w:r>
      <w:r w:rsidRPr="009973B7">
        <w:t>,</w:t>
      </w:r>
    </w:p>
    <w:p w:rsidR="0050219C" w:rsidRPr="009973B7" w:rsidRDefault="0050219C" w:rsidP="0050219C">
      <w:pPr>
        <w:spacing w:line="360" w:lineRule="auto"/>
        <w:ind w:firstLine="601"/>
        <w:jc w:val="both"/>
      </w:pPr>
      <w:r w:rsidRPr="009973B7">
        <w:t>а розрахункове значення стандартного відхилення s обчислюють за такими формулами:</w:t>
      </w:r>
    </w:p>
    <w:p w:rsidR="0050219C" w:rsidRPr="009973B7" w:rsidRDefault="0050219C" w:rsidP="0050219C">
      <w:pPr>
        <w:spacing w:line="360" w:lineRule="auto"/>
        <w:ind w:firstLine="601"/>
        <w:jc w:val="both"/>
      </w:pPr>
      <w:r w:rsidRPr="009973B7">
        <w:t xml:space="preserve">сума квадратів виміряних значень: </w:t>
      </w:r>
    </w:p>
    <w:p w:rsidR="0050219C" w:rsidRPr="009973B7" w:rsidRDefault="0050219C" w:rsidP="0050219C">
      <w:pPr>
        <w:spacing w:line="360" w:lineRule="auto"/>
        <w:ind w:firstLine="601"/>
        <w:jc w:val="both"/>
      </w:pPr>
      <w:r w:rsidRPr="009973B7">
        <w:rPr>
          <w:position w:val="-28"/>
        </w:rPr>
        <w:object w:dxaOrig="840" w:dyaOrig="680">
          <v:shape id="_x0000_i1029" type="#_x0000_t75" style="width:50.25pt;height:40.5pt" o:ole="">
            <v:imagedata r:id="rId19" o:title=""/>
          </v:shape>
          <o:OLEObject Type="Embed" ProgID="Equation.3" ShapeID="_x0000_i1029" DrawAspect="Content" ObjectID="_1484125423" r:id="rId20"/>
        </w:object>
      </w:r>
      <w:r w:rsidRPr="009973B7">
        <w:t>;</w:t>
      </w:r>
    </w:p>
    <w:p w:rsidR="0050219C" w:rsidRPr="009973B7" w:rsidRDefault="0050219C" w:rsidP="0050219C">
      <w:pPr>
        <w:autoSpaceDE w:val="0"/>
        <w:autoSpaceDN w:val="0"/>
        <w:adjustRightInd w:val="0"/>
        <w:spacing w:line="360" w:lineRule="auto"/>
        <w:ind w:firstLine="601"/>
        <w:jc w:val="both"/>
      </w:pPr>
      <w:r w:rsidRPr="009973B7">
        <w:t xml:space="preserve">квадрат суми виміряних значень: </w:t>
      </w:r>
    </w:p>
    <w:p w:rsidR="0050219C" w:rsidRPr="009973B7" w:rsidRDefault="0050219C" w:rsidP="0050219C">
      <w:pPr>
        <w:spacing w:line="360" w:lineRule="auto"/>
        <w:ind w:firstLine="601"/>
        <w:jc w:val="both"/>
      </w:pPr>
      <w:r w:rsidRPr="009973B7">
        <w:rPr>
          <w:position w:val="-30"/>
        </w:rPr>
        <w:object w:dxaOrig="900" w:dyaOrig="780">
          <v:shape id="_x0000_i1030" type="#_x0000_t75" style="width:54pt;height:47.25pt" o:ole="">
            <v:imagedata r:id="rId21" o:title=""/>
          </v:shape>
          <o:OLEObject Type="Embed" ProgID="Equation.3" ShapeID="_x0000_i1030" DrawAspect="Content" ObjectID="_1484125424" r:id="rId22"/>
        </w:object>
      </w:r>
      <w:r w:rsidRPr="009973B7">
        <w:t xml:space="preserve"> далі </w:t>
      </w:r>
      <w:r w:rsidRPr="009973B7">
        <w:rPr>
          <w:position w:val="-30"/>
        </w:rPr>
        <w:object w:dxaOrig="1120" w:dyaOrig="780">
          <v:shape id="_x0000_i1031" type="#_x0000_t75" style="width:67.5pt;height:47.25pt" o:ole="">
            <v:imagedata r:id="rId23" o:title=""/>
          </v:shape>
          <o:OLEObject Type="Embed" ProgID="Equation.3" ShapeID="_x0000_i1031" DrawAspect="Content" ObjectID="_1484125425" r:id="rId24"/>
        </w:object>
      </w:r>
      <w:r w:rsidRPr="009973B7">
        <w:t>;</w:t>
      </w:r>
    </w:p>
    <w:p w:rsidR="0050219C" w:rsidRPr="009973B7" w:rsidRDefault="0050219C" w:rsidP="0050219C">
      <w:pPr>
        <w:spacing w:line="360" w:lineRule="auto"/>
        <w:ind w:firstLine="601"/>
        <w:jc w:val="both"/>
      </w:pPr>
      <w:r w:rsidRPr="009973B7">
        <w:t>скоригована сума:</w:t>
      </w:r>
    </w:p>
    <w:p w:rsidR="0050219C" w:rsidRPr="009973B7" w:rsidRDefault="0050219C" w:rsidP="0050219C">
      <w:pPr>
        <w:spacing w:line="360" w:lineRule="auto"/>
        <w:ind w:firstLine="601"/>
        <w:jc w:val="both"/>
      </w:pPr>
      <w:r w:rsidRPr="009973B7">
        <w:rPr>
          <w:position w:val="-30"/>
        </w:rPr>
        <w:object w:dxaOrig="2700" w:dyaOrig="780">
          <v:shape id="_x0000_i1032" type="#_x0000_t75" style="width:162.75pt;height:47.25pt" o:ole="">
            <v:imagedata r:id="rId25" o:title=""/>
          </v:shape>
          <o:OLEObject Type="Embed" ProgID="Equation.3" ShapeID="_x0000_i1032" DrawAspect="Content" ObjectID="_1484125426" r:id="rId26"/>
        </w:object>
      </w:r>
      <w:r w:rsidRPr="009973B7">
        <w:t>;</w:t>
      </w:r>
    </w:p>
    <w:p w:rsidR="0050219C" w:rsidRPr="009973B7" w:rsidRDefault="0050219C" w:rsidP="0050219C">
      <w:pPr>
        <w:spacing w:line="360" w:lineRule="auto"/>
        <w:ind w:firstLine="601"/>
        <w:jc w:val="both"/>
      </w:pPr>
      <w:r w:rsidRPr="009973B7">
        <w:t xml:space="preserve">оцінка дисперсії: </w:t>
      </w:r>
    </w:p>
    <w:p w:rsidR="0050219C" w:rsidRPr="009973B7" w:rsidRDefault="0050219C" w:rsidP="0050219C">
      <w:pPr>
        <w:spacing w:line="360" w:lineRule="auto"/>
        <w:ind w:firstLine="601"/>
        <w:jc w:val="both"/>
      </w:pPr>
      <w:r w:rsidRPr="009973B7">
        <w:rPr>
          <w:position w:val="-24"/>
        </w:rPr>
        <w:object w:dxaOrig="880" w:dyaOrig="620">
          <v:shape id="_x0000_i1033" type="#_x0000_t75" style="width:49.5pt;height:34.5pt" o:ole="">
            <v:imagedata r:id="rId27" o:title=""/>
          </v:shape>
          <o:OLEObject Type="Embed" ProgID="Equation.3" ShapeID="_x0000_i1033" DrawAspect="Content" ObjectID="_1484125427" r:id="rId28"/>
        </w:object>
      </w:r>
      <w:r w:rsidRPr="009973B7">
        <w:t>;</w:t>
      </w:r>
    </w:p>
    <w:p w:rsidR="0050219C" w:rsidRPr="009973B7" w:rsidRDefault="0050219C" w:rsidP="0050219C">
      <w:pPr>
        <w:spacing w:line="360" w:lineRule="auto"/>
        <w:ind w:firstLine="540"/>
        <w:jc w:val="both"/>
      </w:pPr>
      <w:r w:rsidRPr="009973B7">
        <w:t xml:space="preserve">розрахункове значення стандартного відхилення: </w:t>
      </w:r>
    </w:p>
    <w:p w:rsidR="0050219C" w:rsidRPr="009973B7" w:rsidRDefault="0050219C" w:rsidP="0050219C">
      <w:pPr>
        <w:spacing w:line="360" w:lineRule="auto"/>
        <w:ind w:firstLine="720"/>
        <w:jc w:val="both"/>
      </w:pPr>
      <w:r w:rsidRPr="009973B7">
        <w:rPr>
          <w:position w:val="-8"/>
        </w:rPr>
        <w:object w:dxaOrig="740" w:dyaOrig="360">
          <v:shape id="_x0000_i1034" type="#_x0000_t75" style="width:43.5pt;height:21.75pt" o:ole="">
            <v:imagedata r:id="rId29" o:title=""/>
          </v:shape>
          <o:OLEObject Type="Embed" ProgID="Equation.3" ShapeID="_x0000_i1034" DrawAspect="Content" ObjectID="_1484125428" r:id="rId30"/>
        </w:object>
      </w:r>
      <w:r w:rsidRPr="009973B7">
        <w:t>.</w:t>
      </w:r>
    </w:p>
    <w:p w:rsidR="0050219C" w:rsidRPr="009973B7" w:rsidRDefault="0050219C" w:rsidP="0050219C">
      <w:pPr>
        <w:autoSpaceDE w:val="0"/>
        <w:autoSpaceDN w:val="0"/>
        <w:adjustRightInd w:val="0"/>
        <w:spacing w:line="360" w:lineRule="auto"/>
        <w:ind w:firstLine="601"/>
        <w:jc w:val="right"/>
      </w:pPr>
      <w:r w:rsidRPr="009973B7">
        <w:t>Продовження додатка 3</w:t>
      </w:r>
    </w:p>
    <w:p w:rsidR="0050219C" w:rsidRPr="009973B7" w:rsidRDefault="0050219C" w:rsidP="0050219C">
      <w:pPr>
        <w:spacing w:line="360" w:lineRule="auto"/>
        <w:ind w:firstLine="720"/>
        <w:jc w:val="both"/>
      </w:pPr>
    </w:p>
    <w:p w:rsidR="0050219C" w:rsidRPr="009973B7" w:rsidRDefault="0050219C" w:rsidP="0050219C">
      <w:pPr>
        <w:ind w:left="357"/>
        <w:jc w:val="center"/>
        <w:rPr>
          <w:b/>
        </w:rPr>
      </w:pPr>
      <w:r w:rsidRPr="009973B7">
        <w:rPr>
          <w:b/>
        </w:rPr>
        <w:t>Критерії прийняття чи неприйняття партії упакованих одиниць</w:t>
      </w:r>
    </w:p>
    <w:p w:rsidR="0050219C" w:rsidRPr="009973B7" w:rsidRDefault="0050219C" w:rsidP="0050219C">
      <w:pPr>
        <w:ind w:left="357"/>
        <w:jc w:val="center"/>
        <w:rPr>
          <w:b/>
        </w:rPr>
      </w:pPr>
      <w:r w:rsidRPr="009973B7">
        <w:rPr>
          <w:b/>
        </w:rPr>
        <w:t>для перевірки середнього значення</w:t>
      </w:r>
    </w:p>
    <w:p w:rsidR="0050219C" w:rsidRPr="009973B7" w:rsidRDefault="0050219C" w:rsidP="0050219C">
      <w:pPr>
        <w:ind w:left="357"/>
        <w:jc w:val="center"/>
        <w:rPr>
          <w:b/>
        </w:rPr>
      </w:pPr>
    </w:p>
    <w:p w:rsidR="0050219C" w:rsidRPr="009973B7" w:rsidRDefault="0050219C" w:rsidP="0050219C">
      <w:pPr>
        <w:spacing w:line="360" w:lineRule="auto"/>
        <w:ind w:firstLine="567"/>
        <w:jc w:val="both"/>
      </w:pPr>
      <w:r w:rsidRPr="009973B7">
        <w:t>13. Критерії для неруйнівного контролю зазначено в таблиці 3.</w:t>
      </w:r>
    </w:p>
    <w:p w:rsidR="0050219C" w:rsidRPr="009973B7" w:rsidRDefault="0050219C" w:rsidP="0050219C">
      <w:pPr>
        <w:ind w:firstLine="567"/>
        <w:jc w:val="right"/>
        <w:rPr>
          <w:b/>
        </w:rPr>
      </w:pPr>
    </w:p>
    <w:p w:rsidR="0050219C" w:rsidRPr="009973B7" w:rsidRDefault="0050219C" w:rsidP="0050219C">
      <w:pPr>
        <w:spacing w:line="360" w:lineRule="auto"/>
        <w:ind w:firstLine="567"/>
        <w:jc w:val="right"/>
      </w:pPr>
      <w:r w:rsidRPr="009973B7">
        <w:t>Таблиця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440"/>
        <w:gridCol w:w="2160"/>
        <w:gridCol w:w="2340"/>
      </w:tblGrid>
      <w:tr w:rsidR="0050219C" w:rsidRPr="009973B7" w:rsidTr="00E23599">
        <w:trPr>
          <w:trHeight w:val="166"/>
        </w:trPr>
        <w:tc>
          <w:tcPr>
            <w:tcW w:w="3060" w:type="dxa"/>
            <w:vMerge w:val="restart"/>
            <w:shd w:val="clear" w:color="auto" w:fill="auto"/>
          </w:tcPr>
          <w:p w:rsidR="0050219C" w:rsidRPr="009973B7" w:rsidRDefault="0050219C" w:rsidP="00E23599">
            <w:pPr>
              <w:autoSpaceDE w:val="0"/>
              <w:autoSpaceDN w:val="0"/>
              <w:adjustRightInd w:val="0"/>
              <w:ind w:right="-1"/>
              <w:jc w:val="center"/>
            </w:pPr>
            <w:r w:rsidRPr="009973B7">
              <w:t>Кількість у партії</w:t>
            </w:r>
          </w:p>
        </w:tc>
        <w:tc>
          <w:tcPr>
            <w:tcW w:w="1440" w:type="dxa"/>
            <w:vMerge w:val="restart"/>
            <w:shd w:val="clear" w:color="auto" w:fill="auto"/>
          </w:tcPr>
          <w:p w:rsidR="0050219C" w:rsidRPr="009973B7" w:rsidRDefault="0050219C" w:rsidP="00E23599">
            <w:pPr>
              <w:autoSpaceDE w:val="0"/>
              <w:autoSpaceDN w:val="0"/>
              <w:adjustRightInd w:val="0"/>
              <w:ind w:right="34"/>
              <w:jc w:val="center"/>
            </w:pPr>
            <w:r w:rsidRPr="009973B7">
              <w:t>Кількість у вибірці</w:t>
            </w:r>
          </w:p>
        </w:tc>
        <w:tc>
          <w:tcPr>
            <w:tcW w:w="4500" w:type="dxa"/>
            <w:gridSpan w:val="2"/>
            <w:shd w:val="clear" w:color="auto" w:fill="auto"/>
          </w:tcPr>
          <w:p w:rsidR="0050219C" w:rsidRPr="009973B7" w:rsidRDefault="0050219C" w:rsidP="00E23599">
            <w:pPr>
              <w:autoSpaceDE w:val="0"/>
              <w:autoSpaceDN w:val="0"/>
              <w:adjustRightInd w:val="0"/>
              <w:ind w:right="34"/>
              <w:jc w:val="center"/>
            </w:pPr>
            <w:r w:rsidRPr="009973B7">
              <w:t>Критерії</w:t>
            </w:r>
          </w:p>
        </w:tc>
      </w:tr>
      <w:tr w:rsidR="0050219C" w:rsidRPr="009973B7" w:rsidTr="00E23599">
        <w:trPr>
          <w:trHeight w:val="166"/>
        </w:trPr>
        <w:tc>
          <w:tcPr>
            <w:tcW w:w="3060" w:type="dxa"/>
            <w:vMerge/>
            <w:shd w:val="clear" w:color="auto" w:fill="auto"/>
          </w:tcPr>
          <w:p w:rsidR="0050219C" w:rsidRPr="009973B7" w:rsidRDefault="0050219C" w:rsidP="00E23599">
            <w:pPr>
              <w:autoSpaceDE w:val="0"/>
              <w:autoSpaceDN w:val="0"/>
              <w:adjustRightInd w:val="0"/>
              <w:ind w:right="-1"/>
              <w:jc w:val="center"/>
            </w:pPr>
          </w:p>
        </w:tc>
        <w:tc>
          <w:tcPr>
            <w:tcW w:w="1440" w:type="dxa"/>
            <w:vMerge/>
            <w:shd w:val="clear" w:color="auto" w:fill="auto"/>
          </w:tcPr>
          <w:p w:rsidR="0050219C" w:rsidRPr="009973B7" w:rsidRDefault="0050219C" w:rsidP="00E23599">
            <w:pPr>
              <w:autoSpaceDE w:val="0"/>
              <w:autoSpaceDN w:val="0"/>
              <w:adjustRightInd w:val="0"/>
              <w:ind w:right="34"/>
              <w:jc w:val="center"/>
            </w:pPr>
          </w:p>
        </w:tc>
        <w:tc>
          <w:tcPr>
            <w:tcW w:w="2160" w:type="dxa"/>
            <w:shd w:val="clear" w:color="auto" w:fill="auto"/>
          </w:tcPr>
          <w:p w:rsidR="0050219C" w:rsidRPr="009973B7" w:rsidRDefault="0050219C" w:rsidP="00E23599">
            <w:pPr>
              <w:autoSpaceDE w:val="0"/>
              <w:autoSpaceDN w:val="0"/>
              <w:adjustRightInd w:val="0"/>
              <w:ind w:right="34"/>
              <w:jc w:val="center"/>
            </w:pPr>
            <w:r w:rsidRPr="009973B7">
              <w:t>прийняття</w:t>
            </w:r>
          </w:p>
        </w:tc>
        <w:tc>
          <w:tcPr>
            <w:tcW w:w="2340" w:type="dxa"/>
            <w:shd w:val="clear" w:color="auto" w:fill="auto"/>
          </w:tcPr>
          <w:p w:rsidR="0050219C" w:rsidRPr="009973B7" w:rsidRDefault="0050219C" w:rsidP="00E23599">
            <w:pPr>
              <w:autoSpaceDE w:val="0"/>
              <w:autoSpaceDN w:val="0"/>
              <w:adjustRightInd w:val="0"/>
              <w:ind w:right="34"/>
              <w:jc w:val="center"/>
            </w:pPr>
            <w:r w:rsidRPr="009973B7">
              <w:t>неприйняття</w:t>
            </w:r>
          </w:p>
        </w:tc>
      </w:tr>
      <w:tr w:rsidR="0050219C" w:rsidRPr="009973B7" w:rsidTr="00E23599">
        <w:tc>
          <w:tcPr>
            <w:tcW w:w="3060" w:type="dxa"/>
            <w:shd w:val="clear" w:color="auto" w:fill="auto"/>
          </w:tcPr>
          <w:p w:rsidR="0050219C" w:rsidRPr="009973B7" w:rsidRDefault="0050219C" w:rsidP="00E23599">
            <w:pPr>
              <w:autoSpaceDE w:val="0"/>
              <w:autoSpaceDN w:val="0"/>
              <w:adjustRightInd w:val="0"/>
              <w:ind w:right="-1"/>
            </w:pPr>
            <w:r w:rsidRPr="009973B7">
              <w:t>Від 100 до 500 включно</w:t>
            </w:r>
          </w:p>
          <w:p w:rsidR="0050219C" w:rsidRPr="009973B7" w:rsidRDefault="0050219C" w:rsidP="00E23599">
            <w:pPr>
              <w:autoSpaceDE w:val="0"/>
              <w:autoSpaceDN w:val="0"/>
              <w:adjustRightInd w:val="0"/>
              <w:ind w:right="-1"/>
            </w:pPr>
            <w:r w:rsidRPr="009973B7">
              <w:t>&gt; 500</w:t>
            </w:r>
          </w:p>
        </w:tc>
        <w:tc>
          <w:tcPr>
            <w:tcW w:w="1440" w:type="dxa"/>
            <w:shd w:val="clear" w:color="auto" w:fill="auto"/>
          </w:tcPr>
          <w:p w:rsidR="0050219C" w:rsidRPr="009973B7" w:rsidRDefault="0050219C" w:rsidP="00E23599">
            <w:pPr>
              <w:autoSpaceDE w:val="0"/>
              <w:autoSpaceDN w:val="0"/>
              <w:adjustRightInd w:val="0"/>
              <w:ind w:right="34"/>
              <w:jc w:val="center"/>
            </w:pPr>
            <w:r w:rsidRPr="009973B7">
              <w:t>30</w:t>
            </w:r>
          </w:p>
          <w:p w:rsidR="0050219C" w:rsidRPr="009973B7" w:rsidRDefault="0050219C" w:rsidP="00E23599">
            <w:pPr>
              <w:autoSpaceDE w:val="0"/>
              <w:autoSpaceDN w:val="0"/>
              <w:adjustRightInd w:val="0"/>
              <w:ind w:right="34"/>
              <w:jc w:val="center"/>
            </w:pPr>
            <w:r w:rsidRPr="009973B7">
              <w:t>50</w:t>
            </w:r>
          </w:p>
        </w:tc>
        <w:tc>
          <w:tcPr>
            <w:tcW w:w="2160" w:type="dxa"/>
            <w:shd w:val="clear" w:color="auto" w:fill="auto"/>
          </w:tcPr>
          <w:p w:rsidR="0050219C" w:rsidRPr="009973B7" w:rsidRDefault="0050219C" w:rsidP="00E23599">
            <w:pPr>
              <w:autoSpaceDE w:val="0"/>
              <w:autoSpaceDN w:val="0"/>
              <w:adjustRightInd w:val="0"/>
              <w:ind w:right="34"/>
              <w:jc w:val="center"/>
            </w:pPr>
            <w:r w:rsidRPr="009973B7">
              <w:t xml:space="preserve">Х ≥ </w:t>
            </w:r>
            <w:proofErr w:type="spellStart"/>
            <w:r w:rsidRPr="009973B7">
              <w:t>Q</w:t>
            </w:r>
            <w:r w:rsidRPr="009973B7">
              <w:rPr>
                <w:vertAlign w:val="subscript"/>
              </w:rPr>
              <w:t>n</w:t>
            </w:r>
            <w:proofErr w:type="spellEnd"/>
            <w:r w:rsidRPr="009973B7">
              <w:t xml:space="preserve"> – 0,503s</w:t>
            </w:r>
          </w:p>
          <w:p w:rsidR="0050219C" w:rsidRPr="009973B7" w:rsidRDefault="0050219C" w:rsidP="00E23599">
            <w:pPr>
              <w:autoSpaceDE w:val="0"/>
              <w:autoSpaceDN w:val="0"/>
              <w:adjustRightInd w:val="0"/>
              <w:ind w:right="34"/>
              <w:jc w:val="center"/>
            </w:pPr>
            <w:r w:rsidRPr="009973B7">
              <w:t xml:space="preserve">X ≥ </w:t>
            </w:r>
            <w:proofErr w:type="spellStart"/>
            <w:r w:rsidRPr="009973B7">
              <w:t>Q</w:t>
            </w:r>
            <w:r w:rsidRPr="009973B7">
              <w:rPr>
                <w:vertAlign w:val="subscript"/>
              </w:rPr>
              <w:t>n</w:t>
            </w:r>
            <w:proofErr w:type="spellEnd"/>
            <w:r w:rsidRPr="009973B7">
              <w:t xml:space="preserve"> – 0,379s</w:t>
            </w:r>
          </w:p>
        </w:tc>
        <w:tc>
          <w:tcPr>
            <w:tcW w:w="2340" w:type="dxa"/>
            <w:shd w:val="clear" w:color="auto" w:fill="auto"/>
          </w:tcPr>
          <w:p w:rsidR="0050219C" w:rsidRPr="009973B7" w:rsidRDefault="0050219C" w:rsidP="00E23599">
            <w:pPr>
              <w:autoSpaceDE w:val="0"/>
              <w:autoSpaceDN w:val="0"/>
              <w:adjustRightInd w:val="0"/>
              <w:ind w:right="34"/>
              <w:jc w:val="center"/>
            </w:pPr>
            <w:r w:rsidRPr="009973B7">
              <w:t xml:space="preserve">X &lt; </w:t>
            </w:r>
            <w:proofErr w:type="spellStart"/>
            <w:r w:rsidRPr="009973B7">
              <w:t>Q</w:t>
            </w:r>
            <w:r w:rsidRPr="009973B7">
              <w:rPr>
                <w:vertAlign w:val="subscript"/>
              </w:rPr>
              <w:t>n</w:t>
            </w:r>
            <w:proofErr w:type="spellEnd"/>
            <w:r w:rsidRPr="009973B7">
              <w:t xml:space="preserve"> – 0,503s</w:t>
            </w:r>
          </w:p>
          <w:p w:rsidR="0050219C" w:rsidRPr="009973B7" w:rsidRDefault="0050219C" w:rsidP="00E23599">
            <w:pPr>
              <w:autoSpaceDE w:val="0"/>
              <w:autoSpaceDN w:val="0"/>
              <w:adjustRightInd w:val="0"/>
              <w:ind w:right="34"/>
              <w:jc w:val="center"/>
            </w:pPr>
            <w:r w:rsidRPr="009973B7">
              <w:t xml:space="preserve">X &lt; </w:t>
            </w:r>
            <w:proofErr w:type="spellStart"/>
            <w:r w:rsidRPr="009973B7">
              <w:t>Q</w:t>
            </w:r>
            <w:r w:rsidRPr="009973B7">
              <w:rPr>
                <w:vertAlign w:val="subscript"/>
              </w:rPr>
              <w:t>n</w:t>
            </w:r>
            <w:proofErr w:type="spellEnd"/>
            <w:r w:rsidRPr="009973B7">
              <w:t xml:space="preserve"> – 0,379s</w:t>
            </w:r>
          </w:p>
        </w:tc>
      </w:tr>
    </w:tbl>
    <w:p w:rsidR="0050219C" w:rsidRPr="009973B7" w:rsidRDefault="0050219C" w:rsidP="0050219C">
      <w:pPr>
        <w:tabs>
          <w:tab w:val="left" w:pos="-108"/>
        </w:tabs>
        <w:autoSpaceDE w:val="0"/>
        <w:autoSpaceDN w:val="0"/>
        <w:adjustRightInd w:val="0"/>
        <w:spacing w:line="360" w:lineRule="auto"/>
        <w:ind w:firstLine="601"/>
        <w:jc w:val="both"/>
        <w:rPr>
          <w:lang w:val="en-US"/>
        </w:rPr>
      </w:pPr>
    </w:p>
    <w:p w:rsidR="0050219C" w:rsidRPr="009973B7" w:rsidRDefault="0050219C" w:rsidP="0050219C">
      <w:pPr>
        <w:tabs>
          <w:tab w:val="left" w:pos="-108"/>
        </w:tabs>
        <w:autoSpaceDE w:val="0"/>
        <w:autoSpaceDN w:val="0"/>
        <w:adjustRightInd w:val="0"/>
        <w:spacing w:line="360" w:lineRule="auto"/>
        <w:ind w:firstLine="601"/>
        <w:jc w:val="both"/>
      </w:pPr>
      <w:r w:rsidRPr="009973B7">
        <w:t>14. Критерії для руйнівного контролю зазначено в таблиці 4.</w:t>
      </w:r>
    </w:p>
    <w:p w:rsidR="0050219C" w:rsidRPr="009973B7" w:rsidRDefault="0050219C" w:rsidP="0050219C">
      <w:pPr>
        <w:tabs>
          <w:tab w:val="left" w:pos="-108"/>
        </w:tabs>
        <w:autoSpaceDE w:val="0"/>
        <w:autoSpaceDN w:val="0"/>
        <w:adjustRightInd w:val="0"/>
        <w:spacing w:line="360" w:lineRule="auto"/>
        <w:ind w:firstLine="601"/>
        <w:jc w:val="both"/>
      </w:pPr>
    </w:p>
    <w:p w:rsidR="0050219C" w:rsidRPr="009973B7" w:rsidRDefault="0050219C" w:rsidP="0050219C">
      <w:pPr>
        <w:spacing w:line="360" w:lineRule="auto"/>
        <w:ind w:firstLine="567"/>
        <w:jc w:val="right"/>
      </w:pPr>
      <w:r w:rsidRPr="009973B7">
        <w:t>Таблиця 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1513"/>
        <w:gridCol w:w="2520"/>
        <w:gridCol w:w="2340"/>
      </w:tblGrid>
      <w:tr w:rsidR="0050219C" w:rsidRPr="009973B7" w:rsidTr="00E23599">
        <w:trPr>
          <w:trHeight w:val="166"/>
        </w:trPr>
        <w:tc>
          <w:tcPr>
            <w:tcW w:w="2627" w:type="dxa"/>
            <w:vMerge w:val="restart"/>
            <w:shd w:val="clear" w:color="auto" w:fill="auto"/>
          </w:tcPr>
          <w:p w:rsidR="0050219C" w:rsidRPr="009973B7" w:rsidRDefault="0050219C" w:rsidP="00E23599">
            <w:pPr>
              <w:autoSpaceDE w:val="0"/>
              <w:autoSpaceDN w:val="0"/>
              <w:adjustRightInd w:val="0"/>
              <w:ind w:right="-1"/>
              <w:jc w:val="center"/>
            </w:pPr>
            <w:r w:rsidRPr="009973B7">
              <w:t>Кількість у партії</w:t>
            </w:r>
          </w:p>
        </w:tc>
        <w:tc>
          <w:tcPr>
            <w:tcW w:w="1513" w:type="dxa"/>
            <w:vMerge w:val="restart"/>
            <w:shd w:val="clear" w:color="auto" w:fill="auto"/>
          </w:tcPr>
          <w:p w:rsidR="0050219C" w:rsidRPr="009973B7" w:rsidRDefault="0050219C" w:rsidP="00E23599">
            <w:pPr>
              <w:autoSpaceDE w:val="0"/>
              <w:autoSpaceDN w:val="0"/>
              <w:adjustRightInd w:val="0"/>
              <w:ind w:right="34"/>
              <w:jc w:val="center"/>
            </w:pPr>
            <w:r w:rsidRPr="009973B7">
              <w:t>Кількість у вибірці</w:t>
            </w:r>
          </w:p>
        </w:tc>
        <w:tc>
          <w:tcPr>
            <w:tcW w:w="4860" w:type="dxa"/>
            <w:gridSpan w:val="2"/>
            <w:shd w:val="clear" w:color="auto" w:fill="auto"/>
          </w:tcPr>
          <w:p w:rsidR="0050219C" w:rsidRPr="009973B7" w:rsidRDefault="0050219C" w:rsidP="00E23599">
            <w:pPr>
              <w:autoSpaceDE w:val="0"/>
              <w:autoSpaceDN w:val="0"/>
              <w:adjustRightInd w:val="0"/>
              <w:ind w:right="34"/>
              <w:jc w:val="center"/>
            </w:pPr>
            <w:r w:rsidRPr="009973B7">
              <w:t>Критерії</w:t>
            </w:r>
          </w:p>
        </w:tc>
      </w:tr>
      <w:tr w:rsidR="0050219C" w:rsidRPr="009973B7" w:rsidTr="00E23599">
        <w:trPr>
          <w:trHeight w:val="166"/>
        </w:trPr>
        <w:tc>
          <w:tcPr>
            <w:tcW w:w="2627" w:type="dxa"/>
            <w:vMerge/>
            <w:shd w:val="clear" w:color="auto" w:fill="auto"/>
          </w:tcPr>
          <w:p w:rsidR="0050219C" w:rsidRPr="009973B7" w:rsidRDefault="0050219C" w:rsidP="00E23599">
            <w:pPr>
              <w:autoSpaceDE w:val="0"/>
              <w:autoSpaceDN w:val="0"/>
              <w:adjustRightInd w:val="0"/>
              <w:ind w:right="-1"/>
              <w:jc w:val="center"/>
            </w:pPr>
          </w:p>
        </w:tc>
        <w:tc>
          <w:tcPr>
            <w:tcW w:w="1513" w:type="dxa"/>
            <w:vMerge/>
            <w:shd w:val="clear" w:color="auto" w:fill="auto"/>
          </w:tcPr>
          <w:p w:rsidR="0050219C" w:rsidRPr="009973B7" w:rsidRDefault="0050219C" w:rsidP="00E23599">
            <w:pPr>
              <w:autoSpaceDE w:val="0"/>
              <w:autoSpaceDN w:val="0"/>
              <w:adjustRightInd w:val="0"/>
              <w:ind w:right="34"/>
              <w:jc w:val="center"/>
            </w:pPr>
          </w:p>
        </w:tc>
        <w:tc>
          <w:tcPr>
            <w:tcW w:w="2520" w:type="dxa"/>
            <w:shd w:val="clear" w:color="auto" w:fill="auto"/>
          </w:tcPr>
          <w:p w:rsidR="0050219C" w:rsidRPr="009973B7" w:rsidRDefault="0050219C" w:rsidP="00E23599">
            <w:pPr>
              <w:autoSpaceDE w:val="0"/>
              <w:autoSpaceDN w:val="0"/>
              <w:adjustRightInd w:val="0"/>
              <w:ind w:right="34"/>
              <w:jc w:val="center"/>
            </w:pPr>
            <w:r w:rsidRPr="009973B7">
              <w:t>прийняття</w:t>
            </w:r>
          </w:p>
        </w:tc>
        <w:tc>
          <w:tcPr>
            <w:tcW w:w="2340" w:type="dxa"/>
            <w:shd w:val="clear" w:color="auto" w:fill="auto"/>
          </w:tcPr>
          <w:p w:rsidR="0050219C" w:rsidRPr="009973B7" w:rsidRDefault="0050219C" w:rsidP="00E23599">
            <w:pPr>
              <w:autoSpaceDE w:val="0"/>
              <w:autoSpaceDN w:val="0"/>
              <w:adjustRightInd w:val="0"/>
              <w:ind w:right="34"/>
              <w:jc w:val="center"/>
            </w:pPr>
            <w:r w:rsidRPr="009973B7">
              <w:t>неприйняття</w:t>
            </w:r>
          </w:p>
        </w:tc>
      </w:tr>
      <w:tr w:rsidR="0050219C" w:rsidRPr="009973B7" w:rsidTr="00E23599">
        <w:tc>
          <w:tcPr>
            <w:tcW w:w="2627" w:type="dxa"/>
            <w:shd w:val="clear" w:color="auto" w:fill="auto"/>
          </w:tcPr>
          <w:p w:rsidR="0050219C" w:rsidRPr="009973B7" w:rsidRDefault="0050219C" w:rsidP="00E23599">
            <w:pPr>
              <w:autoSpaceDE w:val="0"/>
              <w:autoSpaceDN w:val="0"/>
              <w:adjustRightInd w:val="0"/>
              <w:ind w:right="-1"/>
            </w:pPr>
            <w:r w:rsidRPr="009973B7">
              <w:t>Будь-яка (≥ 100)</w:t>
            </w:r>
          </w:p>
        </w:tc>
        <w:tc>
          <w:tcPr>
            <w:tcW w:w="1513" w:type="dxa"/>
            <w:shd w:val="clear" w:color="auto" w:fill="auto"/>
          </w:tcPr>
          <w:p w:rsidR="0050219C" w:rsidRPr="009973B7" w:rsidRDefault="0050219C" w:rsidP="00E23599">
            <w:pPr>
              <w:autoSpaceDE w:val="0"/>
              <w:autoSpaceDN w:val="0"/>
              <w:adjustRightInd w:val="0"/>
              <w:ind w:right="34"/>
              <w:jc w:val="center"/>
            </w:pPr>
            <w:r w:rsidRPr="009973B7">
              <w:t>20</w:t>
            </w:r>
          </w:p>
        </w:tc>
        <w:tc>
          <w:tcPr>
            <w:tcW w:w="2520" w:type="dxa"/>
            <w:shd w:val="clear" w:color="auto" w:fill="auto"/>
          </w:tcPr>
          <w:p w:rsidR="0050219C" w:rsidRPr="009973B7" w:rsidRDefault="0050219C" w:rsidP="00E23599">
            <w:pPr>
              <w:autoSpaceDE w:val="0"/>
              <w:autoSpaceDN w:val="0"/>
              <w:adjustRightInd w:val="0"/>
              <w:ind w:right="34"/>
              <w:jc w:val="center"/>
            </w:pPr>
            <w:r w:rsidRPr="009973B7">
              <w:t xml:space="preserve">Х ≥ </w:t>
            </w:r>
            <w:proofErr w:type="spellStart"/>
            <w:r w:rsidRPr="009973B7">
              <w:t>Q</w:t>
            </w:r>
            <w:r w:rsidRPr="009973B7">
              <w:rPr>
                <w:vertAlign w:val="subscript"/>
              </w:rPr>
              <w:t>n</w:t>
            </w:r>
            <w:proofErr w:type="spellEnd"/>
            <w:r w:rsidRPr="009973B7">
              <w:t xml:space="preserve"> – 0,640s</w:t>
            </w:r>
          </w:p>
        </w:tc>
        <w:tc>
          <w:tcPr>
            <w:tcW w:w="2340" w:type="dxa"/>
            <w:shd w:val="clear" w:color="auto" w:fill="auto"/>
          </w:tcPr>
          <w:p w:rsidR="0050219C" w:rsidRPr="009973B7" w:rsidRDefault="0050219C" w:rsidP="00E23599">
            <w:pPr>
              <w:autoSpaceDE w:val="0"/>
              <w:autoSpaceDN w:val="0"/>
              <w:adjustRightInd w:val="0"/>
              <w:ind w:right="34"/>
              <w:jc w:val="center"/>
            </w:pPr>
            <w:r w:rsidRPr="009973B7">
              <w:t xml:space="preserve">X &lt; </w:t>
            </w:r>
            <w:proofErr w:type="spellStart"/>
            <w:r w:rsidRPr="009973B7">
              <w:t>Q</w:t>
            </w:r>
            <w:r w:rsidRPr="009973B7">
              <w:rPr>
                <w:vertAlign w:val="subscript"/>
              </w:rPr>
              <w:t>n</w:t>
            </w:r>
            <w:proofErr w:type="spellEnd"/>
            <w:r w:rsidRPr="009973B7">
              <w:t xml:space="preserve"> – 0,640s</w:t>
            </w:r>
          </w:p>
        </w:tc>
      </w:tr>
    </w:tbl>
    <w:p w:rsidR="0050219C" w:rsidRPr="009973B7" w:rsidRDefault="0050219C" w:rsidP="0050219C">
      <w:pPr>
        <w:spacing w:line="360" w:lineRule="auto"/>
        <w:jc w:val="center"/>
        <w:rPr>
          <w:b/>
        </w:rPr>
      </w:pPr>
    </w:p>
    <w:p w:rsidR="0050219C" w:rsidRPr="009973B7" w:rsidRDefault="0050219C" w:rsidP="0050219C">
      <w:pPr>
        <w:spacing w:line="360" w:lineRule="auto"/>
        <w:jc w:val="center"/>
      </w:pPr>
      <w:r w:rsidRPr="009973B7">
        <w:rPr>
          <w:b/>
        </w:rPr>
        <w:t>_________________________________</w:t>
      </w:r>
    </w:p>
    <w:p w:rsidR="0050219C" w:rsidRPr="009973B7" w:rsidRDefault="0050219C" w:rsidP="00632C0B">
      <w:pPr>
        <w:spacing w:line="360" w:lineRule="auto"/>
        <w:jc w:val="both"/>
        <w:rPr>
          <w:color w:val="000000"/>
          <w:lang w:val="en-US" w:eastAsia="ru-RU"/>
        </w:rPr>
      </w:pPr>
    </w:p>
    <w:p w:rsidR="0050219C" w:rsidRPr="009973B7" w:rsidRDefault="0050219C" w:rsidP="0050219C">
      <w:pPr>
        <w:tabs>
          <w:tab w:val="left" w:pos="5220"/>
        </w:tabs>
        <w:autoSpaceDE w:val="0"/>
        <w:autoSpaceDN w:val="0"/>
        <w:adjustRightInd w:val="0"/>
        <w:ind w:left="5220"/>
        <w:jc w:val="center"/>
      </w:pPr>
      <w:r w:rsidRPr="009973B7">
        <w:t>Додаток 4</w:t>
      </w:r>
    </w:p>
    <w:p w:rsidR="0050219C" w:rsidRPr="009973B7" w:rsidRDefault="0050219C" w:rsidP="0050219C">
      <w:pPr>
        <w:tabs>
          <w:tab w:val="left" w:pos="5580"/>
        </w:tabs>
        <w:autoSpaceDE w:val="0"/>
        <w:autoSpaceDN w:val="0"/>
        <w:adjustRightInd w:val="0"/>
        <w:ind w:left="5220"/>
        <w:jc w:val="center"/>
      </w:pPr>
      <w:r w:rsidRPr="009973B7">
        <w:t>до Технічного регламенту</w:t>
      </w:r>
    </w:p>
    <w:p w:rsidR="0050219C" w:rsidRPr="009973B7" w:rsidRDefault="0050219C" w:rsidP="0050219C">
      <w:pPr>
        <w:tabs>
          <w:tab w:val="left" w:pos="5580"/>
        </w:tabs>
        <w:ind w:left="5220"/>
        <w:jc w:val="center"/>
      </w:pPr>
      <w:r w:rsidRPr="009973B7">
        <w:lastRenderedPageBreak/>
        <w:t>щодо деяких товарів, які фасують</w:t>
      </w:r>
    </w:p>
    <w:p w:rsidR="0050219C" w:rsidRPr="009973B7" w:rsidRDefault="0050219C" w:rsidP="0050219C">
      <w:pPr>
        <w:tabs>
          <w:tab w:val="left" w:pos="5580"/>
        </w:tabs>
        <w:ind w:left="5220"/>
        <w:jc w:val="center"/>
      </w:pPr>
      <w:r w:rsidRPr="009973B7">
        <w:t>за масою та об’ємом у готову упаковку</w:t>
      </w:r>
    </w:p>
    <w:p w:rsidR="0050219C" w:rsidRPr="009973B7" w:rsidRDefault="0050219C" w:rsidP="0050219C">
      <w:pPr>
        <w:tabs>
          <w:tab w:val="left" w:pos="-108"/>
        </w:tabs>
        <w:autoSpaceDE w:val="0"/>
        <w:autoSpaceDN w:val="0"/>
        <w:adjustRightInd w:val="0"/>
        <w:spacing w:line="360" w:lineRule="auto"/>
        <w:ind w:firstLine="601"/>
        <w:jc w:val="right"/>
        <w:rPr>
          <w:b/>
        </w:rPr>
      </w:pPr>
    </w:p>
    <w:p w:rsidR="0050219C" w:rsidRPr="009973B7" w:rsidRDefault="0050219C" w:rsidP="0050219C">
      <w:pPr>
        <w:tabs>
          <w:tab w:val="left" w:pos="-108"/>
        </w:tabs>
        <w:autoSpaceDE w:val="0"/>
        <w:autoSpaceDN w:val="0"/>
        <w:adjustRightInd w:val="0"/>
        <w:spacing w:line="360" w:lineRule="auto"/>
        <w:jc w:val="center"/>
        <w:rPr>
          <w:b/>
        </w:rPr>
      </w:pPr>
      <w:r w:rsidRPr="009973B7">
        <w:rPr>
          <w:b/>
        </w:rPr>
        <w:t>Знак відповідності упакованої одиниці</w:t>
      </w:r>
    </w:p>
    <w:p w:rsidR="0050219C" w:rsidRPr="009973B7" w:rsidRDefault="0050219C" w:rsidP="0050219C">
      <w:pPr>
        <w:tabs>
          <w:tab w:val="left" w:pos="-108"/>
        </w:tabs>
        <w:autoSpaceDE w:val="0"/>
        <w:autoSpaceDN w:val="0"/>
        <w:adjustRightInd w:val="0"/>
        <w:spacing w:line="360" w:lineRule="auto"/>
        <w:ind w:firstLine="601"/>
        <w:jc w:val="both"/>
      </w:pPr>
      <w:r w:rsidRPr="009973B7">
        <w:t xml:space="preserve">Форма та пропорції знака відповідності упакованої одиниці повинні відповідати зазначеним на рисунку 1. </w:t>
      </w:r>
    </w:p>
    <w:p w:rsidR="0050219C" w:rsidRPr="009973B7" w:rsidRDefault="00E31B2C" w:rsidP="0050219C">
      <w:pPr>
        <w:tabs>
          <w:tab w:val="left" w:pos="-108"/>
        </w:tabs>
        <w:autoSpaceDE w:val="0"/>
        <w:autoSpaceDN w:val="0"/>
        <w:adjustRightInd w:val="0"/>
        <w:ind w:firstLine="601"/>
        <w:jc w:val="center"/>
      </w:pPr>
      <w:r>
        <w:rPr>
          <w:noProof/>
        </w:rPr>
        <w:drawing>
          <wp:inline distT="0" distB="0" distL="0" distR="0">
            <wp:extent cx="3448050" cy="3238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48050" cy="3238500"/>
                    </a:xfrm>
                    <a:prstGeom prst="rect">
                      <a:avLst/>
                    </a:prstGeom>
                    <a:noFill/>
                    <a:ln>
                      <a:noFill/>
                    </a:ln>
                  </pic:spPr>
                </pic:pic>
              </a:graphicData>
            </a:graphic>
          </wp:inline>
        </w:drawing>
      </w:r>
    </w:p>
    <w:p w:rsidR="0050219C" w:rsidRPr="009973B7" w:rsidRDefault="0050219C" w:rsidP="0050219C">
      <w:pPr>
        <w:tabs>
          <w:tab w:val="left" w:pos="-108"/>
        </w:tabs>
        <w:autoSpaceDE w:val="0"/>
        <w:autoSpaceDN w:val="0"/>
        <w:adjustRightInd w:val="0"/>
        <w:ind w:firstLine="601"/>
        <w:jc w:val="both"/>
      </w:pPr>
      <w:r w:rsidRPr="009973B7">
        <w:rPr>
          <w:b/>
        </w:rPr>
        <w:t>Примітка.</w:t>
      </w:r>
      <w:r w:rsidRPr="009973B7">
        <w:t xml:space="preserve"> У разі зміни розміру знака відповідності упакованої одиниці повинні додержуватися його пропорції, зазначені на рисунку 1.</w:t>
      </w:r>
    </w:p>
    <w:p w:rsidR="0050219C" w:rsidRPr="009973B7" w:rsidRDefault="0050219C" w:rsidP="0050219C">
      <w:pPr>
        <w:tabs>
          <w:tab w:val="left" w:pos="-108"/>
        </w:tabs>
        <w:autoSpaceDE w:val="0"/>
        <w:autoSpaceDN w:val="0"/>
        <w:adjustRightInd w:val="0"/>
        <w:ind w:firstLine="601"/>
        <w:jc w:val="center"/>
      </w:pPr>
    </w:p>
    <w:p w:rsidR="0050219C" w:rsidRPr="009973B7" w:rsidRDefault="0050219C" w:rsidP="0050219C">
      <w:pPr>
        <w:spacing w:line="360" w:lineRule="auto"/>
        <w:ind w:left="360"/>
        <w:jc w:val="center"/>
      </w:pPr>
      <w:r w:rsidRPr="009973B7">
        <w:t xml:space="preserve">Рисунок 1. </w:t>
      </w:r>
    </w:p>
    <w:p w:rsidR="0050219C" w:rsidRPr="009973B7" w:rsidRDefault="0050219C" w:rsidP="0050219C">
      <w:pPr>
        <w:spacing w:line="360" w:lineRule="auto"/>
        <w:ind w:left="360"/>
        <w:jc w:val="center"/>
        <w:rPr>
          <w:b/>
        </w:rPr>
      </w:pPr>
      <w:r w:rsidRPr="009973B7">
        <w:rPr>
          <w:b/>
        </w:rPr>
        <w:t>_________________________________</w:t>
      </w:r>
    </w:p>
    <w:p w:rsidR="0050219C" w:rsidRPr="009973B7" w:rsidRDefault="0050219C" w:rsidP="0050219C">
      <w:pPr>
        <w:spacing w:line="360" w:lineRule="auto"/>
        <w:ind w:left="360"/>
        <w:jc w:val="center"/>
      </w:pPr>
    </w:p>
    <w:p w:rsidR="0050219C" w:rsidRPr="009973B7" w:rsidRDefault="0050219C" w:rsidP="00632C0B">
      <w:pPr>
        <w:spacing w:line="360" w:lineRule="auto"/>
        <w:jc w:val="both"/>
        <w:rPr>
          <w:color w:val="000000"/>
          <w:lang w:val="en-US" w:eastAsia="ru-RU"/>
        </w:rPr>
      </w:pPr>
    </w:p>
    <w:sectPr w:rsidR="0050219C" w:rsidRPr="009973B7" w:rsidSect="00294406">
      <w:headerReference w:type="even" r:id="rId32"/>
      <w:headerReference w:type="default" r:id="rId33"/>
      <w:pgSz w:w="11906" w:h="16838"/>
      <w:pgMar w:top="1134" w:right="567" w:bottom="1134" w:left="170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B2" w:rsidRDefault="00F231B2">
      <w:r>
        <w:separator/>
      </w:r>
    </w:p>
  </w:endnote>
  <w:endnote w:type="continuationSeparator" w:id="0">
    <w:p w:rsidR="00F231B2" w:rsidRDefault="00F2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B2" w:rsidRDefault="00F231B2">
      <w:r>
        <w:separator/>
      </w:r>
    </w:p>
  </w:footnote>
  <w:footnote w:type="continuationSeparator" w:id="0">
    <w:p w:rsidR="00F231B2" w:rsidRDefault="00F2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9C" w:rsidRDefault="0050219C" w:rsidP="004445F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0219C" w:rsidRDefault="0050219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9C" w:rsidRDefault="0050219C" w:rsidP="004445F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31B2C">
      <w:rPr>
        <w:rStyle w:val="aa"/>
        <w:noProof/>
      </w:rPr>
      <w:t>12</w:t>
    </w:r>
    <w:r>
      <w:rPr>
        <w:rStyle w:val="aa"/>
      </w:rPr>
      <w:fldChar w:fldCharType="end"/>
    </w:r>
  </w:p>
  <w:p w:rsidR="0050219C" w:rsidRDefault="005021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E52B1"/>
    <w:multiLevelType w:val="hybridMultilevel"/>
    <w:tmpl w:val="3BA8FC0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31240106"/>
    <w:multiLevelType w:val="multilevel"/>
    <w:tmpl w:val="C272429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915"/>
        </w:tabs>
        <w:ind w:left="915" w:hanging="69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620"/>
        </w:tabs>
        <w:ind w:left="1620" w:hanging="72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2">
    <w:nsid w:val="34A01FBF"/>
    <w:multiLevelType w:val="hybridMultilevel"/>
    <w:tmpl w:val="CC0A52A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3AC671AE"/>
    <w:multiLevelType w:val="hybridMultilevel"/>
    <w:tmpl w:val="1AD23E22"/>
    <w:lvl w:ilvl="0" w:tplc="C30E7334">
      <w:start w:val="12"/>
      <w:numFmt w:val="bullet"/>
      <w:lvlText w:val="–"/>
      <w:lvlJc w:val="left"/>
      <w:pPr>
        <w:tabs>
          <w:tab w:val="num" w:pos="961"/>
        </w:tabs>
        <w:ind w:left="961" w:hanging="360"/>
      </w:pPr>
      <w:rPr>
        <w:rFonts w:ascii="Times New Roman" w:eastAsia="Times New Roman" w:hAnsi="Times New Roman" w:cs="Times New Roman" w:hint="default"/>
      </w:rPr>
    </w:lvl>
    <w:lvl w:ilvl="1" w:tplc="04220003" w:tentative="1">
      <w:start w:val="1"/>
      <w:numFmt w:val="bullet"/>
      <w:lvlText w:val="o"/>
      <w:lvlJc w:val="left"/>
      <w:pPr>
        <w:tabs>
          <w:tab w:val="num" w:pos="1681"/>
        </w:tabs>
        <w:ind w:left="1681" w:hanging="360"/>
      </w:pPr>
      <w:rPr>
        <w:rFonts w:ascii="Courier New" w:hAnsi="Courier New" w:cs="Courier New" w:hint="default"/>
      </w:rPr>
    </w:lvl>
    <w:lvl w:ilvl="2" w:tplc="04220005" w:tentative="1">
      <w:start w:val="1"/>
      <w:numFmt w:val="bullet"/>
      <w:lvlText w:val=""/>
      <w:lvlJc w:val="left"/>
      <w:pPr>
        <w:tabs>
          <w:tab w:val="num" w:pos="2401"/>
        </w:tabs>
        <w:ind w:left="2401" w:hanging="360"/>
      </w:pPr>
      <w:rPr>
        <w:rFonts w:ascii="Wingdings" w:hAnsi="Wingdings" w:hint="default"/>
      </w:rPr>
    </w:lvl>
    <w:lvl w:ilvl="3" w:tplc="04220001" w:tentative="1">
      <w:start w:val="1"/>
      <w:numFmt w:val="bullet"/>
      <w:lvlText w:val=""/>
      <w:lvlJc w:val="left"/>
      <w:pPr>
        <w:tabs>
          <w:tab w:val="num" w:pos="3121"/>
        </w:tabs>
        <w:ind w:left="3121" w:hanging="360"/>
      </w:pPr>
      <w:rPr>
        <w:rFonts w:ascii="Symbol" w:hAnsi="Symbol" w:hint="default"/>
      </w:rPr>
    </w:lvl>
    <w:lvl w:ilvl="4" w:tplc="04220003" w:tentative="1">
      <w:start w:val="1"/>
      <w:numFmt w:val="bullet"/>
      <w:lvlText w:val="o"/>
      <w:lvlJc w:val="left"/>
      <w:pPr>
        <w:tabs>
          <w:tab w:val="num" w:pos="3841"/>
        </w:tabs>
        <w:ind w:left="3841" w:hanging="360"/>
      </w:pPr>
      <w:rPr>
        <w:rFonts w:ascii="Courier New" w:hAnsi="Courier New" w:cs="Courier New" w:hint="default"/>
      </w:rPr>
    </w:lvl>
    <w:lvl w:ilvl="5" w:tplc="04220005" w:tentative="1">
      <w:start w:val="1"/>
      <w:numFmt w:val="bullet"/>
      <w:lvlText w:val=""/>
      <w:lvlJc w:val="left"/>
      <w:pPr>
        <w:tabs>
          <w:tab w:val="num" w:pos="4561"/>
        </w:tabs>
        <w:ind w:left="4561" w:hanging="360"/>
      </w:pPr>
      <w:rPr>
        <w:rFonts w:ascii="Wingdings" w:hAnsi="Wingdings" w:hint="default"/>
      </w:rPr>
    </w:lvl>
    <w:lvl w:ilvl="6" w:tplc="04220001" w:tentative="1">
      <w:start w:val="1"/>
      <w:numFmt w:val="bullet"/>
      <w:lvlText w:val=""/>
      <w:lvlJc w:val="left"/>
      <w:pPr>
        <w:tabs>
          <w:tab w:val="num" w:pos="5281"/>
        </w:tabs>
        <w:ind w:left="5281" w:hanging="360"/>
      </w:pPr>
      <w:rPr>
        <w:rFonts w:ascii="Symbol" w:hAnsi="Symbol" w:hint="default"/>
      </w:rPr>
    </w:lvl>
    <w:lvl w:ilvl="7" w:tplc="04220003" w:tentative="1">
      <w:start w:val="1"/>
      <w:numFmt w:val="bullet"/>
      <w:lvlText w:val="o"/>
      <w:lvlJc w:val="left"/>
      <w:pPr>
        <w:tabs>
          <w:tab w:val="num" w:pos="6001"/>
        </w:tabs>
        <w:ind w:left="6001" w:hanging="360"/>
      </w:pPr>
      <w:rPr>
        <w:rFonts w:ascii="Courier New" w:hAnsi="Courier New" w:cs="Courier New" w:hint="default"/>
      </w:rPr>
    </w:lvl>
    <w:lvl w:ilvl="8" w:tplc="04220005" w:tentative="1">
      <w:start w:val="1"/>
      <w:numFmt w:val="bullet"/>
      <w:lvlText w:val=""/>
      <w:lvlJc w:val="left"/>
      <w:pPr>
        <w:tabs>
          <w:tab w:val="num" w:pos="6721"/>
        </w:tabs>
        <w:ind w:left="6721" w:hanging="360"/>
      </w:pPr>
      <w:rPr>
        <w:rFonts w:ascii="Wingdings" w:hAnsi="Wingdings" w:hint="default"/>
      </w:rPr>
    </w:lvl>
  </w:abstractNum>
  <w:abstractNum w:abstractNumId="4">
    <w:nsid w:val="4CAB6EB5"/>
    <w:multiLevelType w:val="hybridMultilevel"/>
    <w:tmpl w:val="F01C00F4"/>
    <w:lvl w:ilvl="0" w:tplc="A0AC623A">
      <w:start w:val="1"/>
      <w:numFmt w:val="decimal"/>
      <w:lvlText w:val="3.%1."/>
      <w:lvlJc w:val="left"/>
      <w:pPr>
        <w:tabs>
          <w:tab w:val="num" w:pos="624"/>
        </w:tabs>
        <w:ind w:left="624" w:hanging="397"/>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5">
    <w:nsid w:val="4F4305A2"/>
    <w:multiLevelType w:val="hybridMultilevel"/>
    <w:tmpl w:val="5DB0C538"/>
    <w:lvl w:ilvl="0" w:tplc="1670099E">
      <w:start w:val="1"/>
      <w:numFmt w:val="decimal"/>
      <w:lvlText w:val="%1."/>
      <w:lvlJc w:val="left"/>
      <w:pPr>
        <w:tabs>
          <w:tab w:val="num" w:pos="810"/>
        </w:tabs>
        <w:ind w:left="810" w:hanging="45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524316C5"/>
    <w:multiLevelType w:val="hybridMultilevel"/>
    <w:tmpl w:val="72CC9E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573C6E91"/>
    <w:multiLevelType w:val="hybridMultilevel"/>
    <w:tmpl w:val="929E5FC0"/>
    <w:lvl w:ilvl="0" w:tplc="4B985950">
      <w:start w:val="1"/>
      <w:numFmt w:val="decimal"/>
      <w:lvlText w:val="1.%1."/>
      <w:lvlJc w:val="left"/>
      <w:pPr>
        <w:tabs>
          <w:tab w:val="num" w:pos="624"/>
        </w:tabs>
        <w:ind w:left="624" w:hanging="397"/>
      </w:pPr>
      <w:rPr>
        <w:rFonts w:hint="default"/>
      </w:rPr>
    </w:lvl>
    <w:lvl w:ilvl="1" w:tplc="AAFC2FC2">
      <w:start w:val="1"/>
      <w:numFmt w:val="decimal"/>
      <w:lvlText w:val="2.%2."/>
      <w:lvlJc w:val="left"/>
      <w:pPr>
        <w:tabs>
          <w:tab w:val="num" w:pos="624"/>
        </w:tabs>
        <w:ind w:left="624" w:hanging="397"/>
      </w:pPr>
      <w:rPr>
        <w:rFonts w:hint="default"/>
      </w:r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8">
    <w:nsid w:val="57C1463C"/>
    <w:multiLevelType w:val="hybridMultilevel"/>
    <w:tmpl w:val="9E38511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5A692CDB"/>
    <w:multiLevelType w:val="multilevel"/>
    <w:tmpl w:val="F0F6C516"/>
    <w:lvl w:ilvl="0">
      <w:start w:val="2"/>
      <w:numFmt w:val="decimal"/>
      <w:lvlText w:val="%1."/>
      <w:lvlJc w:val="left"/>
      <w:pPr>
        <w:tabs>
          <w:tab w:val="num" w:pos="690"/>
        </w:tabs>
        <w:ind w:left="690" w:hanging="690"/>
      </w:pPr>
      <w:rPr>
        <w:rFonts w:hint="default"/>
      </w:rPr>
    </w:lvl>
    <w:lvl w:ilvl="1">
      <w:start w:val="1"/>
      <w:numFmt w:val="decimal"/>
      <w:lvlText w:val="2.1.%2."/>
      <w:lvlJc w:val="left"/>
      <w:pPr>
        <w:tabs>
          <w:tab w:val="num" w:pos="907"/>
        </w:tabs>
        <w:ind w:left="907" w:hanging="68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620"/>
        </w:tabs>
        <w:ind w:left="1620" w:hanging="72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10">
    <w:nsid w:val="5CC71125"/>
    <w:multiLevelType w:val="hybridMultilevel"/>
    <w:tmpl w:val="2826812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60916C4F"/>
    <w:multiLevelType w:val="hybridMultilevel"/>
    <w:tmpl w:val="E5F4789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6183374F"/>
    <w:multiLevelType w:val="hybridMultilevel"/>
    <w:tmpl w:val="54EC4E86"/>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61F95083"/>
    <w:multiLevelType w:val="hybridMultilevel"/>
    <w:tmpl w:val="28909D80"/>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63C9722F"/>
    <w:multiLevelType w:val="hybridMultilevel"/>
    <w:tmpl w:val="CD3CF1F6"/>
    <w:lvl w:ilvl="0" w:tplc="74F2D568">
      <w:start w:val="1"/>
      <w:numFmt w:val="decimal"/>
      <w:lvlText w:val="2.3.%1."/>
      <w:lvlJc w:val="left"/>
      <w:pPr>
        <w:tabs>
          <w:tab w:val="num" w:pos="907"/>
        </w:tabs>
        <w:ind w:left="907"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886957"/>
    <w:multiLevelType w:val="multilevel"/>
    <w:tmpl w:val="1826CF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CF25991"/>
    <w:multiLevelType w:val="hybridMultilevel"/>
    <w:tmpl w:val="796A3B42"/>
    <w:lvl w:ilvl="0" w:tplc="80F8304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769046D4"/>
    <w:multiLevelType w:val="hybridMultilevel"/>
    <w:tmpl w:val="DBBEA302"/>
    <w:lvl w:ilvl="0" w:tplc="4E3EF354">
      <w:start w:val="2"/>
      <w:numFmt w:val="decimal"/>
      <w:lvlText w:val="2.3.3.%1."/>
      <w:lvlJc w:val="left"/>
      <w:pPr>
        <w:tabs>
          <w:tab w:val="num" w:pos="907"/>
        </w:tabs>
        <w:ind w:left="907" w:hanging="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396C30"/>
    <w:multiLevelType w:val="hybridMultilevel"/>
    <w:tmpl w:val="84E485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0"/>
  </w:num>
  <w:num w:numId="4">
    <w:abstractNumId w:val="6"/>
  </w:num>
  <w:num w:numId="5">
    <w:abstractNumId w:val="8"/>
  </w:num>
  <w:num w:numId="6">
    <w:abstractNumId w:val="11"/>
  </w:num>
  <w:num w:numId="7">
    <w:abstractNumId w:val="13"/>
  </w:num>
  <w:num w:numId="8">
    <w:abstractNumId w:val="18"/>
  </w:num>
  <w:num w:numId="9">
    <w:abstractNumId w:val="12"/>
  </w:num>
  <w:num w:numId="10">
    <w:abstractNumId w:val="7"/>
  </w:num>
  <w:num w:numId="11">
    <w:abstractNumId w:val="4"/>
  </w:num>
  <w:num w:numId="12">
    <w:abstractNumId w:val="16"/>
  </w:num>
  <w:num w:numId="13">
    <w:abstractNumId w:val="1"/>
  </w:num>
  <w:num w:numId="14">
    <w:abstractNumId w:val="9"/>
  </w:num>
  <w:num w:numId="15">
    <w:abstractNumId w:val="15"/>
  </w:num>
  <w:num w:numId="16">
    <w:abstractNumId w:val="17"/>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8A"/>
    <w:rsid w:val="000249D6"/>
    <w:rsid w:val="0002565B"/>
    <w:rsid w:val="0003033D"/>
    <w:rsid w:val="0003489D"/>
    <w:rsid w:val="00045746"/>
    <w:rsid w:val="000511DF"/>
    <w:rsid w:val="00061392"/>
    <w:rsid w:val="000836F5"/>
    <w:rsid w:val="00084C22"/>
    <w:rsid w:val="000903CA"/>
    <w:rsid w:val="00095F30"/>
    <w:rsid w:val="00097D95"/>
    <w:rsid w:val="000A54E0"/>
    <w:rsid w:val="000A7542"/>
    <w:rsid w:val="000C5C9A"/>
    <w:rsid w:val="000D1A7D"/>
    <w:rsid w:val="000D23A5"/>
    <w:rsid w:val="000F17F9"/>
    <w:rsid w:val="000F4246"/>
    <w:rsid w:val="000F42D7"/>
    <w:rsid w:val="000F750C"/>
    <w:rsid w:val="00102614"/>
    <w:rsid w:val="00120A0F"/>
    <w:rsid w:val="00132249"/>
    <w:rsid w:val="00135013"/>
    <w:rsid w:val="001536A7"/>
    <w:rsid w:val="00157128"/>
    <w:rsid w:val="00160038"/>
    <w:rsid w:val="001615B1"/>
    <w:rsid w:val="00167332"/>
    <w:rsid w:val="0017643E"/>
    <w:rsid w:val="00181430"/>
    <w:rsid w:val="00187344"/>
    <w:rsid w:val="001A39E5"/>
    <w:rsid w:val="001B1BBD"/>
    <w:rsid w:val="001B30AA"/>
    <w:rsid w:val="001B578A"/>
    <w:rsid w:val="001C1F75"/>
    <w:rsid w:val="001C4D81"/>
    <w:rsid w:val="001C6AF4"/>
    <w:rsid w:val="001E385A"/>
    <w:rsid w:val="002061C8"/>
    <w:rsid w:val="00214F96"/>
    <w:rsid w:val="00227876"/>
    <w:rsid w:val="002325E7"/>
    <w:rsid w:val="002335C6"/>
    <w:rsid w:val="00242C8F"/>
    <w:rsid w:val="00244FDA"/>
    <w:rsid w:val="00250563"/>
    <w:rsid w:val="00272F7C"/>
    <w:rsid w:val="00275BB3"/>
    <w:rsid w:val="00283E20"/>
    <w:rsid w:val="00292F7F"/>
    <w:rsid w:val="00294406"/>
    <w:rsid w:val="002967EE"/>
    <w:rsid w:val="002A2FDE"/>
    <w:rsid w:val="002A356E"/>
    <w:rsid w:val="002A6B6F"/>
    <w:rsid w:val="002B3311"/>
    <w:rsid w:val="002C558C"/>
    <w:rsid w:val="002C66C1"/>
    <w:rsid w:val="002C79D1"/>
    <w:rsid w:val="002D754D"/>
    <w:rsid w:val="002F1BB4"/>
    <w:rsid w:val="002F2E93"/>
    <w:rsid w:val="002F3C0D"/>
    <w:rsid w:val="002F7572"/>
    <w:rsid w:val="00302DE7"/>
    <w:rsid w:val="00321E4E"/>
    <w:rsid w:val="0033230D"/>
    <w:rsid w:val="00337C84"/>
    <w:rsid w:val="00341370"/>
    <w:rsid w:val="00344DAE"/>
    <w:rsid w:val="0034581C"/>
    <w:rsid w:val="0035380C"/>
    <w:rsid w:val="00353E3D"/>
    <w:rsid w:val="0035420A"/>
    <w:rsid w:val="0037069F"/>
    <w:rsid w:val="00391EEE"/>
    <w:rsid w:val="003A09E3"/>
    <w:rsid w:val="003B2381"/>
    <w:rsid w:val="003B6BC8"/>
    <w:rsid w:val="003E5363"/>
    <w:rsid w:val="003F00B0"/>
    <w:rsid w:val="003F4FC1"/>
    <w:rsid w:val="00403F62"/>
    <w:rsid w:val="00416FA2"/>
    <w:rsid w:val="0042205B"/>
    <w:rsid w:val="004368EF"/>
    <w:rsid w:val="0044180C"/>
    <w:rsid w:val="004445F6"/>
    <w:rsid w:val="00453D9D"/>
    <w:rsid w:val="00460653"/>
    <w:rsid w:val="004711B2"/>
    <w:rsid w:val="0047260A"/>
    <w:rsid w:val="0047408A"/>
    <w:rsid w:val="0049397D"/>
    <w:rsid w:val="00494F93"/>
    <w:rsid w:val="00496BCC"/>
    <w:rsid w:val="004B0E68"/>
    <w:rsid w:val="004B593C"/>
    <w:rsid w:val="004C117E"/>
    <w:rsid w:val="004C4E61"/>
    <w:rsid w:val="004C5ABD"/>
    <w:rsid w:val="004D7119"/>
    <w:rsid w:val="004E54E7"/>
    <w:rsid w:val="0050219C"/>
    <w:rsid w:val="0050268D"/>
    <w:rsid w:val="00505239"/>
    <w:rsid w:val="005157B5"/>
    <w:rsid w:val="00515830"/>
    <w:rsid w:val="0052126D"/>
    <w:rsid w:val="00530CDB"/>
    <w:rsid w:val="00531805"/>
    <w:rsid w:val="005373C5"/>
    <w:rsid w:val="00540253"/>
    <w:rsid w:val="00544CB2"/>
    <w:rsid w:val="00565DB0"/>
    <w:rsid w:val="005716FF"/>
    <w:rsid w:val="00575CB5"/>
    <w:rsid w:val="00584C89"/>
    <w:rsid w:val="0059465F"/>
    <w:rsid w:val="00597E99"/>
    <w:rsid w:val="005B6EB9"/>
    <w:rsid w:val="005E0E9F"/>
    <w:rsid w:val="005F6FE1"/>
    <w:rsid w:val="00600F70"/>
    <w:rsid w:val="00604982"/>
    <w:rsid w:val="006124DB"/>
    <w:rsid w:val="00615346"/>
    <w:rsid w:val="00632C0B"/>
    <w:rsid w:val="0063510C"/>
    <w:rsid w:val="00641268"/>
    <w:rsid w:val="006432C2"/>
    <w:rsid w:val="00646E37"/>
    <w:rsid w:val="00646FAE"/>
    <w:rsid w:val="00646FDA"/>
    <w:rsid w:val="0065424F"/>
    <w:rsid w:val="00657B99"/>
    <w:rsid w:val="00665E13"/>
    <w:rsid w:val="006723BE"/>
    <w:rsid w:val="00676039"/>
    <w:rsid w:val="00680E65"/>
    <w:rsid w:val="00692B3C"/>
    <w:rsid w:val="006950A2"/>
    <w:rsid w:val="006974B9"/>
    <w:rsid w:val="006A1DDE"/>
    <w:rsid w:val="006A44CC"/>
    <w:rsid w:val="006B358B"/>
    <w:rsid w:val="006B4816"/>
    <w:rsid w:val="0070176A"/>
    <w:rsid w:val="00702826"/>
    <w:rsid w:val="0070483E"/>
    <w:rsid w:val="0070784C"/>
    <w:rsid w:val="007107A3"/>
    <w:rsid w:val="00710D7C"/>
    <w:rsid w:val="0072779C"/>
    <w:rsid w:val="00737380"/>
    <w:rsid w:val="00744D16"/>
    <w:rsid w:val="00752F05"/>
    <w:rsid w:val="00754227"/>
    <w:rsid w:val="0076515F"/>
    <w:rsid w:val="00775313"/>
    <w:rsid w:val="00775816"/>
    <w:rsid w:val="007902F7"/>
    <w:rsid w:val="007907B9"/>
    <w:rsid w:val="00791C9C"/>
    <w:rsid w:val="00794D92"/>
    <w:rsid w:val="007966B9"/>
    <w:rsid w:val="007A5CCF"/>
    <w:rsid w:val="007B3E68"/>
    <w:rsid w:val="007B4169"/>
    <w:rsid w:val="007C451F"/>
    <w:rsid w:val="007C4CD2"/>
    <w:rsid w:val="007F7361"/>
    <w:rsid w:val="0080012C"/>
    <w:rsid w:val="00801793"/>
    <w:rsid w:val="00802999"/>
    <w:rsid w:val="00803CB7"/>
    <w:rsid w:val="00817630"/>
    <w:rsid w:val="00820DC6"/>
    <w:rsid w:val="00822944"/>
    <w:rsid w:val="00824C4F"/>
    <w:rsid w:val="00842193"/>
    <w:rsid w:val="00853378"/>
    <w:rsid w:val="00863CAA"/>
    <w:rsid w:val="00871E71"/>
    <w:rsid w:val="008B0E2A"/>
    <w:rsid w:val="008B516E"/>
    <w:rsid w:val="008C1496"/>
    <w:rsid w:val="008F3C5E"/>
    <w:rsid w:val="008F7108"/>
    <w:rsid w:val="00901A32"/>
    <w:rsid w:val="00911812"/>
    <w:rsid w:val="00914D0F"/>
    <w:rsid w:val="00924851"/>
    <w:rsid w:val="009271C3"/>
    <w:rsid w:val="00927341"/>
    <w:rsid w:val="009366A3"/>
    <w:rsid w:val="00953EB8"/>
    <w:rsid w:val="009549A1"/>
    <w:rsid w:val="00955FF7"/>
    <w:rsid w:val="00956F8A"/>
    <w:rsid w:val="00957E85"/>
    <w:rsid w:val="00957F21"/>
    <w:rsid w:val="00961984"/>
    <w:rsid w:val="00967156"/>
    <w:rsid w:val="00972B75"/>
    <w:rsid w:val="0097461F"/>
    <w:rsid w:val="00974AC7"/>
    <w:rsid w:val="00975921"/>
    <w:rsid w:val="00976045"/>
    <w:rsid w:val="00976AAA"/>
    <w:rsid w:val="00996984"/>
    <w:rsid w:val="009973B7"/>
    <w:rsid w:val="009A46C1"/>
    <w:rsid w:val="009B0134"/>
    <w:rsid w:val="009B0657"/>
    <w:rsid w:val="009D3120"/>
    <w:rsid w:val="009D501C"/>
    <w:rsid w:val="009D5AF3"/>
    <w:rsid w:val="00A01A4C"/>
    <w:rsid w:val="00A03E6A"/>
    <w:rsid w:val="00A172E4"/>
    <w:rsid w:val="00A258A4"/>
    <w:rsid w:val="00A37D49"/>
    <w:rsid w:val="00A52121"/>
    <w:rsid w:val="00A52363"/>
    <w:rsid w:val="00A533F3"/>
    <w:rsid w:val="00A53A21"/>
    <w:rsid w:val="00A576C3"/>
    <w:rsid w:val="00A66C8E"/>
    <w:rsid w:val="00A66D6A"/>
    <w:rsid w:val="00A670FF"/>
    <w:rsid w:val="00A67B45"/>
    <w:rsid w:val="00A7447A"/>
    <w:rsid w:val="00A76DD8"/>
    <w:rsid w:val="00AA0578"/>
    <w:rsid w:val="00AC4364"/>
    <w:rsid w:val="00AC6FB4"/>
    <w:rsid w:val="00AD0C99"/>
    <w:rsid w:val="00AD0DE1"/>
    <w:rsid w:val="00AF2767"/>
    <w:rsid w:val="00B0494B"/>
    <w:rsid w:val="00B0662C"/>
    <w:rsid w:val="00B06660"/>
    <w:rsid w:val="00B11DD9"/>
    <w:rsid w:val="00B1461B"/>
    <w:rsid w:val="00B23B59"/>
    <w:rsid w:val="00B244C3"/>
    <w:rsid w:val="00B24DFA"/>
    <w:rsid w:val="00B37439"/>
    <w:rsid w:val="00B410F3"/>
    <w:rsid w:val="00B42157"/>
    <w:rsid w:val="00B440E2"/>
    <w:rsid w:val="00B458E8"/>
    <w:rsid w:val="00B460D3"/>
    <w:rsid w:val="00B46FD2"/>
    <w:rsid w:val="00B6200C"/>
    <w:rsid w:val="00B642C2"/>
    <w:rsid w:val="00B675F7"/>
    <w:rsid w:val="00B74069"/>
    <w:rsid w:val="00B80E9F"/>
    <w:rsid w:val="00B87FEF"/>
    <w:rsid w:val="00B9549F"/>
    <w:rsid w:val="00BA07FA"/>
    <w:rsid w:val="00BB0B77"/>
    <w:rsid w:val="00BB52B0"/>
    <w:rsid w:val="00BC740D"/>
    <w:rsid w:val="00BD624A"/>
    <w:rsid w:val="00BF3539"/>
    <w:rsid w:val="00C36BD1"/>
    <w:rsid w:val="00C40A1A"/>
    <w:rsid w:val="00C568BB"/>
    <w:rsid w:val="00C57C40"/>
    <w:rsid w:val="00C61C50"/>
    <w:rsid w:val="00C62C81"/>
    <w:rsid w:val="00C642D6"/>
    <w:rsid w:val="00C65B0C"/>
    <w:rsid w:val="00C76D8A"/>
    <w:rsid w:val="00C779F8"/>
    <w:rsid w:val="00C815E8"/>
    <w:rsid w:val="00CA206A"/>
    <w:rsid w:val="00CA4561"/>
    <w:rsid w:val="00CB672D"/>
    <w:rsid w:val="00CD0665"/>
    <w:rsid w:val="00CE29E2"/>
    <w:rsid w:val="00CF1E37"/>
    <w:rsid w:val="00CF6141"/>
    <w:rsid w:val="00D010A5"/>
    <w:rsid w:val="00D019E0"/>
    <w:rsid w:val="00D021CF"/>
    <w:rsid w:val="00D03609"/>
    <w:rsid w:val="00D20668"/>
    <w:rsid w:val="00D20DC5"/>
    <w:rsid w:val="00D228DF"/>
    <w:rsid w:val="00D24D59"/>
    <w:rsid w:val="00D30B1C"/>
    <w:rsid w:val="00D551F1"/>
    <w:rsid w:val="00D5777F"/>
    <w:rsid w:val="00D64D84"/>
    <w:rsid w:val="00D70547"/>
    <w:rsid w:val="00D9002F"/>
    <w:rsid w:val="00DA1AB8"/>
    <w:rsid w:val="00DA3FF8"/>
    <w:rsid w:val="00DA4987"/>
    <w:rsid w:val="00DD177F"/>
    <w:rsid w:val="00DD3F7B"/>
    <w:rsid w:val="00E00953"/>
    <w:rsid w:val="00E01A0F"/>
    <w:rsid w:val="00E11341"/>
    <w:rsid w:val="00E1169F"/>
    <w:rsid w:val="00E11E5D"/>
    <w:rsid w:val="00E14708"/>
    <w:rsid w:val="00E17795"/>
    <w:rsid w:val="00E2055A"/>
    <w:rsid w:val="00E23599"/>
    <w:rsid w:val="00E23E4C"/>
    <w:rsid w:val="00E2553F"/>
    <w:rsid w:val="00E31B2C"/>
    <w:rsid w:val="00E35F71"/>
    <w:rsid w:val="00E461A0"/>
    <w:rsid w:val="00E53063"/>
    <w:rsid w:val="00E62793"/>
    <w:rsid w:val="00E734A3"/>
    <w:rsid w:val="00E7501B"/>
    <w:rsid w:val="00E75592"/>
    <w:rsid w:val="00E920A2"/>
    <w:rsid w:val="00E939AA"/>
    <w:rsid w:val="00EA50AE"/>
    <w:rsid w:val="00EA6813"/>
    <w:rsid w:val="00EB02BA"/>
    <w:rsid w:val="00ED20ED"/>
    <w:rsid w:val="00ED5B90"/>
    <w:rsid w:val="00EF39DB"/>
    <w:rsid w:val="00F0256E"/>
    <w:rsid w:val="00F03863"/>
    <w:rsid w:val="00F12407"/>
    <w:rsid w:val="00F15CFE"/>
    <w:rsid w:val="00F231B2"/>
    <w:rsid w:val="00F3212F"/>
    <w:rsid w:val="00F36ECE"/>
    <w:rsid w:val="00F508C8"/>
    <w:rsid w:val="00F60D04"/>
    <w:rsid w:val="00F61EE9"/>
    <w:rsid w:val="00F64DA4"/>
    <w:rsid w:val="00F723C9"/>
    <w:rsid w:val="00F770F3"/>
    <w:rsid w:val="00F85672"/>
    <w:rsid w:val="00F92CA2"/>
    <w:rsid w:val="00FA028A"/>
    <w:rsid w:val="00FB00F2"/>
    <w:rsid w:val="00FC3D82"/>
    <w:rsid w:val="00FC731D"/>
    <w:rsid w:val="00FC7952"/>
    <w:rsid w:val="00FD2F2F"/>
    <w:rsid w:val="00FD50C7"/>
    <w:rsid w:val="00FD5557"/>
    <w:rsid w:val="00FE56F8"/>
    <w:rsid w:val="00FF1BA4"/>
    <w:rsid w:val="00FF2ABE"/>
    <w:rsid w:val="00FF7F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7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17">
    <w:name w:val="rvps17"/>
    <w:basedOn w:val="a"/>
    <w:rsid w:val="00632C0B"/>
    <w:pPr>
      <w:spacing w:before="100" w:beforeAutospacing="1" w:after="100" w:afterAutospacing="1"/>
    </w:pPr>
    <w:rPr>
      <w:lang w:val="ru-RU" w:eastAsia="ru-RU"/>
    </w:rPr>
  </w:style>
  <w:style w:type="character" w:customStyle="1" w:styleId="rvts23">
    <w:name w:val="rvts23"/>
    <w:rsid w:val="00632C0B"/>
  </w:style>
  <w:style w:type="character" w:customStyle="1" w:styleId="apple-converted-space">
    <w:name w:val="apple-converted-space"/>
    <w:rsid w:val="00632C0B"/>
  </w:style>
  <w:style w:type="character" w:customStyle="1" w:styleId="rvts64">
    <w:name w:val="rvts64"/>
    <w:rsid w:val="00632C0B"/>
  </w:style>
  <w:style w:type="paragraph" w:customStyle="1" w:styleId="rvps7">
    <w:name w:val="rvps7"/>
    <w:basedOn w:val="a"/>
    <w:rsid w:val="00632C0B"/>
    <w:pPr>
      <w:spacing w:before="100" w:beforeAutospacing="1" w:after="100" w:afterAutospacing="1"/>
    </w:pPr>
    <w:rPr>
      <w:lang w:val="ru-RU" w:eastAsia="ru-RU"/>
    </w:rPr>
  </w:style>
  <w:style w:type="character" w:customStyle="1" w:styleId="rvts9">
    <w:name w:val="rvts9"/>
    <w:rsid w:val="00632C0B"/>
  </w:style>
  <w:style w:type="paragraph" w:customStyle="1" w:styleId="rvps6">
    <w:name w:val="rvps6"/>
    <w:basedOn w:val="a"/>
    <w:rsid w:val="00632C0B"/>
    <w:pPr>
      <w:spacing w:before="100" w:beforeAutospacing="1" w:after="100" w:afterAutospacing="1"/>
    </w:pPr>
    <w:rPr>
      <w:lang w:val="ru-RU" w:eastAsia="ru-RU"/>
    </w:rPr>
  </w:style>
  <w:style w:type="paragraph" w:customStyle="1" w:styleId="rvps2">
    <w:name w:val="rvps2"/>
    <w:basedOn w:val="a"/>
    <w:rsid w:val="00632C0B"/>
    <w:pPr>
      <w:spacing w:before="100" w:beforeAutospacing="1" w:after="100" w:afterAutospacing="1"/>
    </w:pPr>
    <w:rPr>
      <w:lang w:val="ru-RU" w:eastAsia="ru-RU"/>
    </w:rPr>
  </w:style>
  <w:style w:type="character" w:customStyle="1" w:styleId="rvts52">
    <w:name w:val="rvts52"/>
    <w:rsid w:val="00632C0B"/>
  </w:style>
  <w:style w:type="character" w:styleId="a3">
    <w:name w:val="Hyperlink"/>
    <w:uiPriority w:val="99"/>
    <w:unhideWhenUsed/>
    <w:rsid w:val="00632C0B"/>
    <w:rPr>
      <w:color w:val="0000FF"/>
      <w:u w:val="single"/>
    </w:rPr>
  </w:style>
  <w:style w:type="paragraph" w:customStyle="1" w:styleId="rvps4">
    <w:name w:val="rvps4"/>
    <w:basedOn w:val="a"/>
    <w:rsid w:val="00632C0B"/>
    <w:pPr>
      <w:spacing w:before="100" w:beforeAutospacing="1" w:after="100" w:afterAutospacing="1"/>
    </w:pPr>
    <w:rPr>
      <w:lang w:val="ru-RU" w:eastAsia="ru-RU"/>
    </w:rPr>
  </w:style>
  <w:style w:type="character" w:customStyle="1" w:styleId="rvts44">
    <w:name w:val="rvts44"/>
    <w:rsid w:val="00632C0B"/>
  </w:style>
  <w:style w:type="paragraph" w:customStyle="1" w:styleId="rvps15">
    <w:name w:val="rvps15"/>
    <w:basedOn w:val="a"/>
    <w:rsid w:val="00632C0B"/>
    <w:pPr>
      <w:spacing w:before="100" w:beforeAutospacing="1" w:after="100" w:afterAutospacing="1"/>
    </w:pPr>
    <w:rPr>
      <w:lang w:val="ru-RU" w:eastAsia="ru-RU"/>
    </w:rPr>
  </w:style>
  <w:style w:type="paragraph" w:customStyle="1" w:styleId="rvps8">
    <w:name w:val="rvps8"/>
    <w:basedOn w:val="a"/>
    <w:rsid w:val="00632C0B"/>
    <w:pPr>
      <w:spacing w:before="100" w:beforeAutospacing="1" w:after="100" w:afterAutospacing="1"/>
    </w:pPr>
    <w:rPr>
      <w:lang w:val="ru-RU" w:eastAsia="ru-RU"/>
    </w:rPr>
  </w:style>
  <w:style w:type="paragraph" w:customStyle="1" w:styleId="rvps14">
    <w:name w:val="rvps14"/>
    <w:basedOn w:val="a"/>
    <w:rsid w:val="00632C0B"/>
    <w:pPr>
      <w:spacing w:before="100" w:beforeAutospacing="1" w:after="100" w:afterAutospacing="1"/>
    </w:pPr>
    <w:rPr>
      <w:lang w:val="ru-RU" w:eastAsia="ru-RU"/>
    </w:rPr>
  </w:style>
  <w:style w:type="paragraph" w:customStyle="1" w:styleId="rvps12">
    <w:name w:val="rvps12"/>
    <w:basedOn w:val="a"/>
    <w:rsid w:val="00632C0B"/>
    <w:pPr>
      <w:spacing w:before="100" w:beforeAutospacing="1" w:after="100" w:afterAutospacing="1"/>
    </w:pPr>
    <w:rPr>
      <w:lang w:val="ru-RU" w:eastAsia="ru-RU"/>
    </w:rPr>
  </w:style>
  <w:style w:type="table" w:styleId="a4">
    <w:name w:val="Table Grid"/>
    <w:basedOn w:val="a1"/>
    <w:rsid w:val="0063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9D3120"/>
  </w:style>
  <w:style w:type="character" w:customStyle="1" w:styleId="rvts11">
    <w:name w:val="rvts11"/>
    <w:basedOn w:val="a0"/>
    <w:rsid w:val="009D3120"/>
  </w:style>
  <w:style w:type="paragraph" w:styleId="2">
    <w:name w:val="Body Text 2"/>
    <w:basedOn w:val="a"/>
    <w:rsid w:val="00871E71"/>
    <w:pPr>
      <w:spacing w:after="120" w:line="480" w:lineRule="auto"/>
    </w:pPr>
    <w:rPr>
      <w:lang w:val="ru-RU" w:eastAsia="ru-RU"/>
    </w:rPr>
  </w:style>
  <w:style w:type="paragraph" w:styleId="a5">
    <w:name w:val="Body Text Indent"/>
    <w:basedOn w:val="a"/>
    <w:rsid w:val="00871E71"/>
    <w:pPr>
      <w:spacing w:after="120"/>
      <w:ind w:left="283"/>
    </w:pPr>
    <w:rPr>
      <w:lang w:val="ru-RU" w:eastAsia="ru-RU"/>
    </w:rPr>
  </w:style>
  <w:style w:type="paragraph" w:styleId="a6">
    <w:name w:val="Normal (Web)"/>
    <w:basedOn w:val="a"/>
    <w:rsid w:val="00084C22"/>
    <w:pPr>
      <w:spacing w:before="100" w:beforeAutospacing="1" w:after="100" w:afterAutospacing="1"/>
    </w:pPr>
    <w:rPr>
      <w:lang w:val="ru-RU" w:eastAsia="ru-RU"/>
    </w:rPr>
  </w:style>
  <w:style w:type="paragraph" w:styleId="a7">
    <w:name w:val="footnote text"/>
    <w:basedOn w:val="a"/>
    <w:semiHidden/>
    <w:rsid w:val="00084C22"/>
    <w:rPr>
      <w:sz w:val="20"/>
      <w:szCs w:val="20"/>
      <w:lang w:eastAsia="ru-RU"/>
    </w:rPr>
  </w:style>
  <w:style w:type="paragraph" w:styleId="a8">
    <w:name w:val="Balloon Text"/>
    <w:basedOn w:val="a"/>
    <w:semiHidden/>
    <w:rsid w:val="00FF2ABE"/>
    <w:rPr>
      <w:rFonts w:ascii="Tahoma" w:hAnsi="Tahoma" w:cs="Tahoma"/>
      <w:sz w:val="16"/>
      <w:szCs w:val="16"/>
    </w:rPr>
  </w:style>
  <w:style w:type="paragraph" w:styleId="a9">
    <w:name w:val="header"/>
    <w:basedOn w:val="a"/>
    <w:rsid w:val="00604982"/>
    <w:pPr>
      <w:tabs>
        <w:tab w:val="center" w:pos="4819"/>
        <w:tab w:val="right" w:pos="9639"/>
      </w:tabs>
    </w:pPr>
  </w:style>
  <w:style w:type="character" w:styleId="aa">
    <w:name w:val="page number"/>
    <w:basedOn w:val="a0"/>
    <w:rsid w:val="00604982"/>
  </w:style>
  <w:style w:type="paragraph" w:customStyle="1" w:styleId="ab">
    <w:name w:val="Нормальний текст"/>
    <w:basedOn w:val="a"/>
    <w:rsid w:val="00EA50AE"/>
    <w:pPr>
      <w:spacing w:before="120"/>
      <w:ind w:firstLine="567"/>
    </w:pPr>
    <w:rPr>
      <w:rFonts w:ascii="Antiqua" w:hAnsi="Antiqua" w:cs="Antiqua"/>
      <w:sz w:val="26"/>
      <w:szCs w:val="26"/>
      <w:lang w:eastAsia="ru-RU"/>
    </w:rPr>
  </w:style>
  <w:style w:type="paragraph" w:customStyle="1" w:styleId="ac">
    <w:name w:val="Шапка документу"/>
    <w:basedOn w:val="a"/>
    <w:rsid w:val="00EA50AE"/>
    <w:pPr>
      <w:keepNext/>
      <w:keepLines/>
      <w:spacing w:after="240"/>
      <w:ind w:left="4536"/>
      <w:jc w:val="center"/>
    </w:pPr>
    <w:rPr>
      <w:rFonts w:ascii="Antiqua" w:hAnsi="Antiqua" w:cs="Antiqua"/>
      <w:sz w:val="26"/>
      <w:szCs w:val="26"/>
      <w:lang w:eastAsia="ru-RU"/>
    </w:rPr>
  </w:style>
  <w:style w:type="paragraph" w:styleId="ad">
    <w:name w:val="Plain Text"/>
    <w:basedOn w:val="a"/>
    <w:link w:val="ae"/>
    <w:rsid w:val="00EA50AE"/>
    <w:rPr>
      <w:rFonts w:ascii="Courier New" w:hAnsi="Courier New" w:cs="Courier New"/>
      <w:noProof/>
      <w:sz w:val="20"/>
      <w:szCs w:val="20"/>
      <w:lang w:val="en-GB" w:eastAsia="ru-RU"/>
    </w:rPr>
  </w:style>
  <w:style w:type="character" w:customStyle="1" w:styleId="ae">
    <w:name w:val="Текст Знак"/>
    <w:basedOn w:val="a0"/>
    <w:link w:val="ad"/>
    <w:semiHidden/>
    <w:locked/>
    <w:rsid w:val="00EA50AE"/>
    <w:rPr>
      <w:rFonts w:ascii="Courier New" w:hAnsi="Courier New" w:cs="Courier New"/>
      <w:noProof/>
      <w:lang w:val="en-GB" w:eastAsia="ru-RU" w:bidi="ar-SA"/>
    </w:rPr>
  </w:style>
  <w:style w:type="paragraph" w:styleId="HTML">
    <w:name w:val="HTML Preformatted"/>
    <w:basedOn w:val="a"/>
    <w:link w:val="HTML0"/>
    <w:rsid w:val="00EA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basedOn w:val="a0"/>
    <w:link w:val="HTML"/>
    <w:locked/>
    <w:rsid w:val="00EA50AE"/>
    <w:rPr>
      <w:rFonts w:ascii="Courier New" w:hAnsi="Courier New" w:cs="Courier New"/>
      <w:color w:val="000000"/>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57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vps17">
    <w:name w:val="rvps17"/>
    <w:basedOn w:val="a"/>
    <w:rsid w:val="00632C0B"/>
    <w:pPr>
      <w:spacing w:before="100" w:beforeAutospacing="1" w:after="100" w:afterAutospacing="1"/>
    </w:pPr>
    <w:rPr>
      <w:lang w:val="ru-RU" w:eastAsia="ru-RU"/>
    </w:rPr>
  </w:style>
  <w:style w:type="character" w:customStyle="1" w:styleId="rvts23">
    <w:name w:val="rvts23"/>
    <w:rsid w:val="00632C0B"/>
  </w:style>
  <w:style w:type="character" w:customStyle="1" w:styleId="apple-converted-space">
    <w:name w:val="apple-converted-space"/>
    <w:rsid w:val="00632C0B"/>
  </w:style>
  <w:style w:type="character" w:customStyle="1" w:styleId="rvts64">
    <w:name w:val="rvts64"/>
    <w:rsid w:val="00632C0B"/>
  </w:style>
  <w:style w:type="paragraph" w:customStyle="1" w:styleId="rvps7">
    <w:name w:val="rvps7"/>
    <w:basedOn w:val="a"/>
    <w:rsid w:val="00632C0B"/>
    <w:pPr>
      <w:spacing w:before="100" w:beforeAutospacing="1" w:after="100" w:afterAutospacing="1"/>
    </w:pPr>
    <w:rPr>
      <w:lang w:val="ru-RU" w:eastAsia="ru-RU"/>
    </w:rPr>
  </w:style>
  <w:style w:type="character" w:customStyle="1" w:styleId="rvts9">
    <w:name w:val="rvts9"/>
    <w:rsid w:val="00632C0B"/>
  </w:style>
  <w:style w:type="paragraph" w:customStyle="1" w:styleId="rvps6">
    <w:name w:val="rvps6"/>
    <w:basedOn w:val="a"/>
    <w:rsid w:val="00632C0B"/>
    <w:pPr>
      <w:spacing w:before="100" w:beforeAutospacing="1" w:after="100" w:afterAutospacing="1"/>
    </w:pPr>
    <w:rPr>
      <w:lang w:val="ru-RU" w:eastAsia="ru-RU"/>
    </w:rPr>
  </w:style>
  <w:style w:type="paragraph" w:customStyle="1" w:styleId="rvps2">
    <w:name w:val="rvps2"/>
    <w:basedOn w:val="a"/>
    <w:rsid w:val="00632C0B"/>
    <w:pPr>
      <w:spacing w:before="100" w:beforeAutospacing="1" w:after="100" w:afterAutospacing="1"/>
    </w:pPr>
    <w:rPr>
      <w:lang w:val="ru-RU" w:eastAsia="ru-RU"/>
    </w:rPr>
  </w:style>
  <w:style w:type="character" w:customStyle="1" w:styleId="rvts52">
    <w:name w:val="rvts52"/>
    <w:rsid w:val="00632C0B"/>
  </w:style>
  <w:style w:type="character" w:styleId="a3">
    <w:name w:val="Hyperlink"/>
    <w:uiPriority w:val="99"/>
    <w:unhideWhenUsed/>
    <w:rsid w:val="00632C0B"/>
    <w:rPr>
      <w:color w:val="0000FF"/>
      <w:u w:val="single"/>
    </w:rPr>
  </w:style>
  <w:style w:type="paragraph" w:customStyle="1" w:styleId="rvps4">
    <w:name w:val="rvps4"/>
    <w:basedOn w:val="a"/>
    <w:rsid w:val="00632C0B"/>
    <w:pPr>
      <w:spacing w:before="100" w:beforeAutospacing="1" w:after="100" w:afterAutospacing="1"/>
    </w:pPr>
    <w:rPr>
      <w:lang w:val="ru-RU" w:eastAsia="ru-RU"/>
    </w:rPr>
  </w:style>
  <w:style w:type="character" w:customStyle="1" w:styleId="rvts44">
    <w:name w:val="rvts44"/>
    <w:rsid w:val="00632C0B"/>
  </w:style>
  <w:style w:type="paragraph" w:customStyle="1" w:styleId="rvps15">
    <w:name w:val="rvps15"/>
    <w:basedOn w:val="a"/>
    <w:rsid w:val="00632C0B"/>
    <w:pPr>
      <w:spacing w:before="100" w:beforeAutospacing="1" w:after="100" w:afterAutospacing="1"/>
    </w:pPr>
    <w:rPr>
      <w:lang w:val="ru-RU" w:eastAsia="ru-RU"/>
    </w:rPr>
  </w:style>
  <w:style w:type="paragraph" w:customStyle="1" w:styleId="rvps8">
    <w:name w:val="rvps8"/>
    <w:basedOn w:val="a"/>
    <w:rsid w:val="00632C0B"/>
    <w:pPr>
      <w:spacing w:before="100" w:beforeAutospacing="1" w:after="100" w:afterAutospacing="1"/>
    </w:pPr>
    <w:rPr>
      <w:lang w:val="ru-RU" w:eastAsia="ru-RU"/>
    </w:rPr>
  </w:style>
  <w:style w:type="paragraph" w:customStyle="1" w:styleId="rvps14">
    <w:name w:val="rvps14"/>
    <w:basedOn w:val="a"/>
    <w:rsid w:val="00632C0B"/>
    <w:pPr>
      <w:spacing w:before="100" w:beforeAutospacing="1" w:after="100" w:afterAutospacing="1"/>
    </w:pPr>
    <w:rPr>
      <w:lang w:val="ru-RU" w:eastAsia="ru-RU"/>
    </w:rPr>
  </w:style>
  <w:style w:type="paragraph" w:customStyle="1" w:styleId="rvps12">
    <w:name w:val="rvps12"/>
    <w:basedOn w:val="a"/>
    <w:rsid w:val="00632C0B"/>
    <w:pPr>
      <w:spacing w:before="100" w:beforeAutospacing="1" w:after="100" w:afterAutospacing="1"/>
    </w:pPr>
    <w:rPr>
      <w:lang w:val="ru-RU" w:eastAsia="ru-RU"/>
    </w:rPr>
  </w:style>
  <w:style w:type="table" w:styleId="a4">
    <w:name w:val="Table Grid"/>
    <w:basedOn w:val="a1"/>
    <w:rsid w:val="0063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0"/>
    <w:rsid w:val="009D3120"/>
  </w:style>
  <w:style w:type="character" w:customStyle="1" w:styleId="rvts11">
    <w:name w:val="rvts11"/>
    <w:basedOn w:val="a0"/>
    <w:rsid w:val="009D3120"/>
  </w:style>
  <w:style w:type="paragraph" w:styleId="2">
    <w:name w:val="Body Text 2"/>
    <w:basedOn w:val="a"/>
    <w:rsid w:val="00871E71"/>
    <w:pPr>
      <w:spacing w:after="120" w:line="480" w:lineRule="auto"/>
    </w:pPr>
    <w:rPr>
      <w:lang w:val="ru-RU" w:eastAsia="ru-RU"/>
    </w:rPr>
  </w:style>
  <w:style w:type="paragraph" w:styleId="a5">
    <w:name w:val="Body Text Indent"/>
    <w:basedOn w:val="a"/>
    <w:rsid w:val="00871E71"/>
    <w:pPr>
      <w:spacing w:after="120"/>
      <w:ind w:left="283"/>
    </w:pPr>
    <w:rPr>
      <w:lang w:val="ru-RU" w:eastAsia="ru-RU"/>
    </w:rPr>
  </w:style>
  <w:style w:type="paragraph" w:styleId="a6">
    <w:name w:val="Normal (Web)"/>
    <w:basedOn w:val="a"/>
    <w:rsid w:val="00084C22"/>
    <w:pPr>
      <w:spacing w:before="100" w:beforeAutospacing="1" w:after="100" w:afterAutospacing="1"/>
    </w:pPr>
    <w:rPr>
      <w:lang w:val="ru-RU" w:eastAsia="ru-RU"/>
    </w:rPr>
  </w:style>
  <w:style w:type="paragraph" w:styleId="a7">
    <w:name w:val="footnote text"/>
    <w:basedOn w:val="a"/>
    <w:semiHidden/>
    <w:rsid w:val="00084C22"/>
    <w:rPr>
      <w:sz w:val="20"/>
      <w:szCs w:val="20"/>
      <w:lang w:eastAsia="ru-RU"/>
    </w:rPr>
  </w:style>
  <w:style w:type="paragraph" w:styleId="a8">
    <w:name w:val="Balloon Text"/>
    <w:basedOn w:val="a"/>
    <w:semiHidden/>
    <w:rsid w:val="00FF2ABE"/>
    <w:rPr>
      <w:rFonts w:ascii="Tahoma" w:hAnsi="Tahoma" w:cs="Tahoma"/>
      <w:sz w:val="16"/>
      <w:szCs w:val="16"/>
    </w:rPr>
  </w:style>
  <w:style w:type="paragraph" w:styleId="a9">
    <w:name w:val="header"/>
    <w:basedOn w:val="a"/>
    <w:rsid w:val="00604982"/>
    <w:pPr>
      <w:tabs>
        <w:tab w:val="center" w:pos="4819"/>
        <w:tab w:val="right" w:pos="9639"/>
      </w:tabs>
    </w:pPr>
  </w:style>
  <w:style w:type="character" w:styleId="aa">
    <w:name w:val="page number"/>
    <w:basedOn w:val="a0"/>
    <w:rsid w:val="00604982"/>
  </w:style>
  <w:style w:type="paragraph" w:customStyle="1" w:styleId="ab">
    <w:name w:val="Нормальний текст"/>
    <w:basedOn w:val="a"/>
    <w:rsid w:val="00EA50AE"/>
    <w:pPr>
      <w:spacing w:before="120"/>
      <w:ind w:firstLine="567"/>
    </w:pPr>
    <w:rPr>
      <w:rFonts w:ascii="Antiqua" w:hAnsi="Antiqua" w:cs="Antiqua"/>
      <w:sz w:val="26"/>
      <w:szCs w:val="26"/>
      <w:lang w:eastAsia="ru-RU"/>
    </w:rPr>
  </w:style>
  <w:style w:type="paragraph" w:customStyle="1" w:styleId="ac">
    <w:name w:val="Шапка документу"/>
    <w:basedOn w:val="a"/>
    <w:rsid w:val="00EA50AE"/>
    <w:pPr>
      <w:keepNext/>
      <w:keepLines/>
      <w:spacing w:after="240"/>
      <w:ind w:left="4536"/>
      <w:jc w:val="center"/>
    </w:pPr>
    <w:rPr>
      <w:rFonts w:ascii="Antiqua" w:hAnsi="Antiqua" w:cs="Antiqua"/>
      <w:sz w:val="26"/>
      <w:szCs w:val="26"/>
      <w:lang w:eastAsia="ru-RU"/>
    </w:rPr>
  </w:style>
  <w:style w:type="paragraph" w:styleId="ad">
    <w:name w:val="Plain Text"/>
    <w:basedOn w:val="a"/>
    <w:link w:val="ae"/>
    <w:rsid w:val="00EA50AE"/>
    <w:rPr>
      <w:rFonts w:ascii="Courier New" w:hAnsi="Courier New" w:cs="Courier New"/>
      <w:noProof/>
      <w:sz w:val="20"/>
      <w:szCs w:val="20"/>
      <w:lang w:val="en-GB" w:eastAsia="ru-RU"/>
    </w:rPr>
  </w:style>
  <w:style w:type="character" w:customStyle="1" w:styleId="ae">
    <w:name w:val="Текст Знак"/>
    <w:basedOn w:val="a0"/>
    <w:link w:val="ad"/>
    <w:semiHidden/>
    <w:locked/>
    <w:rsid w:val="00EA50AE"/>
    <w:rPr>
      <w:rFonts w:ascii="Courier New" w:hAnsi="Courier New" w:cs="Courier New"/>
      <w:noProof/>
      <w:lang w:val="en-GB" w:eastAsia="ru-RU" w:bidi="ar-SA"/>
    </w:rPr>
  </w:style>
  <w:style w:type="paragraph" w:styleId="HTML">
    <w:name w:val="HTML Preformatted"/>
    <w:basedOn w:val="a"/>
    <w:link w:val="HTML0"/>
    <w:rsid w:val="00EA5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basedOn w:val="a0"/>
    <w:link w:val="HTML"/>
    <w:locked/>
    <w:rsid w:val="00EA50AE"/>
    <w:rPr>
      <w:rFonts w:ascii="Courier New" w:hAnsi="Courier New" w:cs="Courier New"/>
      <w:color w:val="000000"/>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2346">
      <w:bodyDiv w:val="1"/>
      <w:marLeft w:val="0"/>
      <w:marRight w:val="0"/>
      <w:marTop w:val="0"/>
      <w:marBottom w:val="0"/>
      <w:divBdr>
        <w:top w:val="none" w:sz="0" w:space="0" w:color="auto"/>
        <w:left w:val="none" w:sz="0" w:space="0" w:color="auto"/>
        <w:bottom w:val="none" w:sz="0" w:space="0" w:color="auto"/>
        <w:right w:val="none" w:sz="0" w:space="0" w:color="auto"/>
      </w:divBdr>
      <w:divsChild>
        <w:div w:id="307978714">
          <w:marLeft w:val="0"/>
          <w:marRight w:val="0"/>
          <w:marTop w:val="0"/>
          <w:marBottom w:val="150"/>
          <w:divBdr>
            <w:top w:val="none" w:sz="0" w:space="0" w:color="auto"/>
            <w:left w:val="none" w:sz="0" w:space="0" w:color="auto"/>
            <w:bottom w:val="none" w:sz="0" w:space="0" w:color="auto"/>
            <w:right w:val="none" w:sz="0" w:space="0" w:color="auto"/>
          </w:divBdr>
        </w:div>
        <w:div w:id="413405066">
          <w:marLeft w:val="0"/>
          <w:marRight w:val="0"/>
          <w:marTop w:val="0"/>
          <w:marBottom w:val="150"/>
          <w:divBdr>
            <w:top w:val="none" w:sz="0" w:space="0" w:color="auto"/>
            <w:left w:val="none" w:sz="0" w:space="0" w:color="auto"/>
            <w:bottom w:val="none" w:sz="0" w:space="0" w:color="auto"/>
            <w:right w:val="none" w:sz="0" w:space="0" w:color="auto"/>
          </w:divBdr>
        </w:div>
        <w:div w:id="566187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164-15"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10" Type="http://schemas.openxmlformats.org/officeDocument/2006/relationships/hyperlink" Target="http://zakon4.rada.gov.ua/laws/show/1149-2009-%D0%BF" TargetMode="External"/><Relationship Id="rId19" Type="http://schemas.openxmlformats.org/officeDocument/2006/relationships/image" Target="media/image5.wmf"/><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zakon4.rada.gov.ua/laws/show/1149-2009-%D0%BF"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13761</Words>
  <Characters>7844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Company>
  <LinksUpToDate>false</LinksUpToDate>
  <CharactersWithSpaces>21562</CharactersWithSpaces>
  <SharedDoc>false</SharedDoc>
  <HLinks>
    <vt:vector size="18" baseType="variant">
      <vt:variant>
        <vt:i4>3342446</vt:i4>
      </vt:variant>
      <vt:variant>
        <vt:i4>6</vt:i4>
      </vt:variant>
      <vt:variant>
        <vt:i4>0</vt:i4>
      </vt:variant>
      <vt:variant>
        <vt:i4>5</vt:i4>
      </vt:variant>
      <vt:variant>
        <vt:lpwstr>http://zakon4.rada.gov.ua/laws/show/1149-2009-%D0%BF</vt:lpwstr>
      </vt:variant>
      <vt:variant>
        <vt:lpwstr>n78#n78</vt:lpwstr>
      </vt:variant>
      <vt:variant>
        <vt:i4>4653083</vt:i4>
      </vt:variant>
      <vt:variant>
        <vt:i4>3</vt:i4>
      </vt:variant>
      <vt:variant>
        <vt:i4>0</vt:i4>
      </vt:variant>
      <vt:variant>
        <vt:i4>5</vt:i4>
      </vt:variant>
      <vt:variant>
        <vt:lpwstr>http://zakon4.rada.gov.ua/laws/show/1149-2009-%D0%BF</vt:lpwstr>
      </vt:variant>
      <vt:variant>
        <vt:lpwstr>n9#n9</vt:lpwstr>
      </vt:variant>
      <vt:variant>
        <vt:i4>2359336</vt:i4>
      </vt:variant>
      <vt:variant>
        <vt:i4>0</vt:i4>
      </vt:variant>
      <vt:variant>
        <vt:i4>0</vt:i4>
      </vt:variant>
      <vt:variant>
        <vt:i4>5</vt:i4>
      </vt:variant>
      <vt:variant>
        <vt:lpwstr>http://zakon4.rada.gov.ua/laws/show/3164-15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popruga</dc:creator>
  <cp:lastModifiedBy>Марина О. Соболевская</cp:lastModifiedBy>
  <cp:revision>2</cp:revision>
  <cp:lastPrinted>2015-01-30T09:02:00Z</cp:lastPrinted>
  <dcterms:created xsi:type="dcterms:W3CDTF">2015-01-30T10:17:00Z</dcterms:created>
  <dcterms:modified xsi:type="dcterms:W3CDTF">2015-01-30T10:17:00Z</dcterms:modified>
</cp:coreProperties>
</file>